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0D90"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48"/>
          <w:szCs w:val="48"/>
          <w:lang w:val="en-GB"/>
        </w:rPr>
      </w:pPr>
    </w:p>
    <w:p w14:paraId="7A162BDF"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48"/>
          <w:szCs w:val="48"/>
          <w:lang w:val="en-GB"/>
        </w:rPr>
      </w:pPr>
      <w:r w:rsidRPr="003C73D5">
        <w:rPr>
          <w:sz w:val="48"/>
          <w:szCs w:val="48"/>
          <w:lang w:val="en-GB"/>
        </w:rPr>
        <w:t>Draft D</w:t>
      </w:r>
      <w:r w:rsidR="00B07161">
        <w:rPr>
          <w:sz w:val="48"/>
          <w:szCs w:val="48"/>
          <w:lang w:val="en-GB"/>
        </w:rPr>
        <w:t>e</w:t>
      </w:r>
      <w:r w:rsidRPr="003C73D5">
        <w:rPr>
          <w:sz w:val="48"/>
          <w:szCs w:val="48"/>
          <w:lang w:val="en-GB"/>
        </w:rPr>
        <w:t>cision Guidance Document</w:t>
      </w:r>
    </w:p>
    <w:p w14:paraId="3F9E03B2"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48"/>
          <w:szCs w:val="48"/>
          <w:lang w:val="en-GB"/>
        </w:rPr>
      </w:pPr>
    </w:p>
    <w:p w14:paraId="2C009CE8"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48"/>
          <w:szCs w:val="48"/>
          <w:lang w:val="en-GB"/>
        </w:rPr>
      </w:pPr>
      <w:r w:rsidRPr="003C73D5">
        <w:rPr>
          <w:sz w:val="48"/>
          <w:szCs w:val="48"/>
          <w:lang w:val="en-GB"/>
        </w:rPr>
        <w:t>Me</w:t>
      </w:r>
      <w:r>
        <w:rPr>
          <w:sz w:val="48"/>
          <w:szCs w:val="48"/>
          <w:lang w:val="en-GB"/>
        </w:rPr>
        <w:t>rcury</w:t>
      </w:r>
    </w:p>
    <w:p w14:paraId="2E903092"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2"/>
          <w:szCs w:val="32"/>
          <w:lang w:val="en-GB"/>
        </w:rPr>
      </w:pPr>
    </w:p>
    <w:p w14:paraId="6CA42508"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2"/>
          <w:szCs w:val="32"/>
          <w:lang w:val="en-GB"/>
        </w:rPr>
      </w:pPr>
    </w:p>
    <w:p w14:paraId="702D957F"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2"/>
          <w:szCs w:val="32"/>
          <w:lang w:val="en-GB"/>
        </w:rPr>
      </w:pPr>
    </w:p>
    <w:p w14:paraId="1FCD1111"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2"/>
          <w:szCs w:val="32"/>
          <w:lang w:val="en-GB"/>
        </w:rPr>
      </w:pPr>
    </w:p>
    <w:p w14:paraId="19146A42"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6"/>
          <w:szCs w:val="36"/>
          <w:lang w:val="en-GB"/>
        </w:rPr>
      </w:pPr>
      <w:r w:rsidRPr="003C73D5">
        <w:rPr>
          <w:sz w:val="36"/>
          <w:szCs w:val="36"/>
          <w:lang w:val="en-GB"/>
        </w:rPr>
        <w:t>Rotterdam Convention</w:t>
      </w:r>
    </w:p>
    <w:p w14:paraId="3F3D187B"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6"/>
          <w:szCs w:val="36"/>
          <w:lang w:val="en-GB"/>
        </w:rPr>
      </w:pPr>
    </w:p>
    <w:p w14:paraId="25E0EA7F" w14:textId="77777777" w:rsidR="00E43EE1" w:rsidRPr="003C73D5" w:rsidRDefault="00E43EE1" w:rsidP="000E763E">
      <w:pPr>
        <w:pStyle w:val="Normal-pool"/>
        <w:tabs>
          <w:tab w:val="clear" w:pos="624"/>
          <w:tab w:val="clear" w:pos="1247"/>
          <w:tab w:val="clear" w:pos="1871"/>
          <w:tab w:val="clear" w:pos="2495"/>
          <w:tab w:val="clear" w:pos="3119"/>
          <w:tab w:val="clear" w:pos="3742"/>
          <w:tab w:val="clear" w:pos="4366"/>
        </w:tabs>
        <w:jc w:val="center"/>
        <w:rPr>
          <w:sz w:val="36"/>
          <w:szCs w:val="36"/>
          <w:lang w:val="en-GB"/>
        </w:rPr>
      </w:pPr>
      <w:r w:rsidRPr="003C73D5">
        <w:rPr>
          <w:sz w:val="36"/>
          <w:szCs w:val="36"/>
          <w:lang w:val="en-GB"/>
        </w:rPr>
        <w:t xml:space="preserve">Operation of the prior informed consent procedure </w:t>
      </w:r>
      <w:r w:rsidRPr="003C73D5">
        <w:rPr>
          <w:sz w:val="36"/>
          <w:szCs w:val="36"/>
          <w:lang w:val="en-GB"/>
        </w:rPr>
        <w:br/>
        <w:t xml:space="preserve">for banned or severely restricted </w:t>
      </w:r>
      <w:proofErr w:type="gramStart"/>
      <w:r w:rsidRPr="003C73D5">
        <w:rPr>
          <w:sz w:val="36"/>
          <w:szCs w:val="36"/>
          <w:lang w:val="en-GB"/>
        </w:rPr>
        <w:t>chemicals</w:t>
      </w:r>
      <w:proofErr w:type="gramEnd"/>
    </w:p>
    <w:p w14:paraId="4090CC60" w14:textId="77777777" w:rsidR="00AA6543" w:rsidRPr="00AA6543" w:rsidRDefault="00AA6543" w:rsidP="000E763E">
      <w:pPr>
        <w:spacing w:line="240" w:lineRule="atLeast"/>
        <w:jc w:val="center"/>
        <w:rPr>
          <w:rFonts w:eastAsia="Times New Roman"/>
          <w:b/>
          <w:i/>
          <w:sz w:val="38"/>
          <w:szCs w:val="38"/>
          <w:lang w:eastAsia="en-US"/>
        </w:rPr>
      </w:pPr>
    </w:p>
    <w:p w14:paraId="0DFD483C" w14:textId="77777777" w:rsidR="00AA6543" w:rsidRPr="00AA6543" w:rsidRDefault="00AA6543" w:rsidP="000E763E">
      <w:pPr>
        <w:spacing w:line="240" w:lineRule="atLeast"/>
        <w:jc w:val="center"/>
        <w:rPr>
          <w:rFonts w:eastAsia="Times New Roman"/>
          <w:sz w:val="38"/>
          <w:szCs w:val="38"/>
          <w:lang w:eastAsia="en-US"/>
        </w:rPr>
      </w:pPr>
    </w:p>
    <w:p w14:paraId="48C8D29B" w14:textId="77777777" w:rsidR="00AA6543" w:rsidRDefault="00AA6543" w:rsidP="000E763E">
      <w:pPr>
        <w:spacing w:line="240" w:lineRule="atLeast"/>
        <w:jc w:val="center"/>
        <w:rPr>
          <w:rFonts w:eastAsia="Times New Roman"/>
          <w:sz w:val="44"/>
          <w:szCs w:val="38"/>
          <w:lang w:eastAsia="en-US"/>
        </w:rPr>
      </w:pPr>
    </w:p>
    <w:p w14:paraId="5B444F9C" w14:textId="77777777" w:rsidR="000E763E" w:rsidRDefault="000E763E" w:rsidP="000E763E">
      <w:pPr>
        <w:spacing w:line="240" w:lineRule="atLeast"/>
        <w:jc w:val="center"/>
        <w:rPr>
          <w:rFonts w:eastAsia="Times New Roman"/>
          <w:sz w:val="44"/>
          <w:szCs w:val="38"/>
          <w:lang w:eastAsia="en-US"/>
        </w:rPr>
      </w:pPr>
    </w:p>
    <w:p w14:paraId="66AF0290" w14:textId="77777777" w:rsidR="000E763E" w:rsidRDefault="000E763E" w:rsidP="000E763E">
      <w:pPr>
        <w:spacing w:line="240" w:lineRule="atLeast"/>
        <w:jc w:val="center"/>
        <w:rPr>
          <w:rFonts w:eastAsia="Times New Roman"/>
          <w:sz w:val="44"/>
          <w:szCs w:val="38"/>
          <w:lang w:eastAsia="en-US"/>
        </w:rPr>
      </w:pPr>
    </w:p>
    <w:p w14:paraId="630247EB" w14:textId="77777777" w:rsidR="000E763E" w:rsidRDefault="000E763E" w:rsidP="000E763E">
      <w:pPr>
        <w:spacing w:line="240" w:lineRule="atLeast"/>
        <w:jc w:val="center"/>
        <w:rPr>
          <w:rFonts w:eastAsia="Times New Roman"/>
          <w:sz w:val="44"/>
          <w:szCs w:val="38"/>
          <w:lang w:eastAsia="en-US"/>
        </w:rPr>
      </w:pPr>
    </w:p>
    <w:p w14:paraId="698DFB01" w14:textId="77777777" w:rsidR="00AA6543" w:rsidRDefault="00AA6543" w:rsidP="000E763E">
      <w:pPr>
        <w:jc w:val="center"/>
        <w:rPr>
          <w:rFonts w:eastAsia="Times New Roman"/>
          <w:szCs w:val="20"/>
          <w:lang w:eastAsia="en-US"/>
        </w:rPr>
      </w:pPr>
    </w:p>
    <w:p w14:paraId="06E34024" w14:textId="77777777" w:rsidR="000E763E" w:rsidRDefault="000E763E" w:rsidP="000E763E">
      <w:pPr>
        <w:jc w:val="center"/>
        <w:rPr>
          <w:rFonts w:eastAsia="Times New Roman"/>
          <w:szCs w:val="20"/>
          <w:lang w:eastAsia="en-US"/>
        </w:rPr>
      </w:pPr>
    </w:p>
    <w:p w14:paraId="57205255" w14:textId="77777777" w:rsidR="000E763E" w:rsidRDefault="000E763E" w:rsidP="000E763E">
      <w:pPr>
        <w:jc w:val="center"/>
        <w:rPr>
          <w:rFonts w:eastAsia="Times New Roman"/>
          <w:szCs w:val="20"/>
          <w:lang w:eastAsia="en-US"/>
        </w:rPr>
      </w:pPr>
    </w:p>
    <w:p w14:paraId="0E037BFF" w14:textId="77777777" w:rsidR="000E763E" w:rsidRDefault="000E763E" w:rsidP="000E763E">
      <w:pPr>
        <w:jc w:val="center"/>
        <w:rPr>
          <w:rFonts w:eastAsia="Times New Roman"/>
          <w:szCs w:val="20"/>
          <w:lang w:eastAsia="en-US"/>
        </w:rPr>
      </w:pPr>
    </w:p>
    <w:p w14:paraId="36B89571" w14:textId="77777777" w:rsidR="000E763E" w:rsidRDefault="000E763E" w:rsidP="000E763E">
      <w:pPr>
        <w:jc w:val="center"/>
        <w:rPr>
          <w:rFonts w:eastAsia="Times New Roman"/>
          <w:szCs w:val="20"/>
          <w:lang w:eastAsia="en-US"/>
        </w:rPr>
      </w:pPr>
    </w:p>
    <w:p w14:paraId="6249E58B" w14:textId="77777777" w:rsidR="000E763E" w:rsidRDefault="000E763E" w:rsidP="000E763E">
      <w:pPr>
        <w:jc w:val="center"/>
        <w:rPr>
          <w:rFonts w:eastAsia="Times New Roman"/>
          <w:szCs w:val="20"/>
          <w:lang w:eastAsia="en-US"/>
        </w:rPr>
      </w:pPr>
    </w:p>
    <w:p w14:paraId="47F7E900" w14:textId="77777777" w:rsidR="000E763E" w:rsidRPr="00AA6543" w:rsidRDefault="000E763E" w:rsidP="000E763E">
      <w:pPr>
        <w:jc w:val="center"/>
        <w:rPr>
          <w:rFonts w:eastAsia="Times New Roman"/>
          <w:szCs w:val="20"/>
          <w:lang w:eastAsia="en-US"/>
        </w:rPr>
      </w:pPr>
    </w:p>
    <w:tbl>
      <w:tblPr>
        <w:tblW w:w="0" w:type="auto"/>
        <w:tblInd w:w="-318" w:type="dxa"/>
        <w:tblLayout w:type="fixed"/>
        <w:tblLook w:val="0000" w:firstRow="0" w:lastRow="0" w:firstColumn="0" w:lastColumn="0" w:noHBand="0" w:noVBand="0"/>
      </w:tblPr>
      <w:tblGrid>
        <w:gridCol w:w="1419"/>
        <w:gridCol w:w="8221"/>
      </w:tblGrid>
      <w:tr w:rsidR="00AA6543" w:rsidRPr="00B1179D" w14:paraId="2DA08B92" w14:textId="77777777" w:rsidTr="00B1179D">
        <w:tc>
          <w:tcPr>
            <w:tcW w:w="1419" w:type="dxa"/>
          </w:tcPr>
          <w:p w14:paraId="0CB2873C" w14:textId="77777777" w:rsidR="00AA6543" w:rsidRPr="00B1179D" w:rsidRDefault="00AA6543" w:rsidP="00AA6543">
            <w:pPr>
              <w:rPr>
                <w:rFonts w:eastAsia="Times New Roman"/>
                <w:szCs w:val="20"/>
                <w:lang w:eastAsia="en-US"/>
              </w:rPr>
            </w:pPr>
            <w:r w:rsidRPr="00B1179D">
              <w:rPr>
                <w:rFonts w:eastAsia="Times New Roman"/>
                <w:szCs w:val="20"/>
                <w:lang w:eastAsia="en-US"/>
              </w:rPr>
              <w:fldChar w:fldCharType="begin" w:fldLock="1"/>
            </w:r>
            <w:r w:rsidRPr="00B1179D">
              <w:rPr>
                <w:rFonts w:eastAsia="Times New Roman"/>
                <w:szCs w:val="20"/>
                <w:lang w:eastAsia="en-US"/>
              </w:rPr>
              <w:instrText>IMPORT S:\\Marin\\Agenda\\!OLEGENE.WPG</w:instrText>
            </w:r>
            <w:r w:rsidRPr="00B1179D">
              <w:rPr>
                <w:rFonts w:eastAsia="Times New Roman"/>
                <w:szCs w:val="20"/>
                <w:lang w:eastAsia="en-US"/>
              </w:rPr>
              <w:fldChar w:fldCharType="separate"/>
            </w:r>
            <w:r w:rsidR="00000000">
              <w:rPr>
                <w:rFonts w:eastAsia="Times New Roman"/>
                <w:szCs w:val="20"/>
                <w:lang w:eastAsia="en-US"/>
              </w:rPr>
              <w:fldChar w:fldCharType="begin"/>
            </w:r>
            <w:r w:rsidR="00000000">
              <w:rPr>
                <w:rFonts w:eastAsia="Times New Roman"/>
                <w:szCs w:val="20"/>
                <w:lang w:eastAsia="en-US"/>
              </w:rPr>
              <w:instrText xml:space="preserve"> INCLUDEPICTURE  "S:\\Marin\\Agenda\\!OLEGENE.WPG" \* MERGEFORMATINET </w:instrText>
            </w:r>
            <w:r w:rsidR="00000000">
              <w:rPr>
                <w:rFonts w:eastAsia="Times New Roman"/>
                <w:szCs w:val="20"/>
                <w:lang w:eastAsia="en-US"/>
              </w:rPr>
              <w:fldChar w:fldCharType="separate"/>
            </w:r>
            <w:r w:rsidR="00661ADF">
              <w:rPr>
                <w:rFonts w:eastAsia="Times New Roman"/>
                <w:szCs w:val="20"/>
                <w:lang w:eastAsia="en-US"/>
              </w:rPr>
              <w:pict w14:anchorId="1501F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48pt" fillcolor="window">
                  <v:imagedata r:id="rId8" r:href="rId9"/>
                </v:shape>
              </w:pict>
            </w:r>
            <w:r w:rsidR="00000000">
              <w:rPr>
                <w:rFonts w:eastAsia="Times New Roman"/>
                <w:szCs w:val="20"/>
                <w:lang w:eastAsia="en-US"/>
              </w:rPr>
              <w:fldChar w:fldCharType="end"/>
            </w:r>
            <w:r w:rsidRPr="00B1179D">
              <w:rPr>
                <w:rFonts w:eastAsia="Times New Roman"/>
                <w:szCs w:val="20"/>
                <w:lang w:eastAsia="en-US"/>
              </w:rPr>
              <w:fldChar w:fldCharType="end"/>
            </w:r>
          </w:p>
          <w:p w14:paraId="37FAC14B" w14:textId="77777777" w:rsidR="00AA6543" w:rsidRPr="00B1179D" w:rsidRDefault="00AA6543" w:rsidP="00AA6543">
            <w:pPr>
              <w:rPr>
                <w:rFonts w:eastAsia="Times New Roman"/>
                <w:szCs w:val="20"/>
                <w:lang w:eastAsia="en-US"/>
              </w:rPr>
            </w:pPr>
          </w:p>
          <w:p w14:paraId="29D63270" w14:textId="77777777" w:rsidR="00AA6543" w:rsidRPr="00B1179D" w:rsidRDefault="00AA6543" w:rsidP="00AA6543">
            <w:pPr>
              <w:rPr>
                <w:rFonts w:eastAsia="Times New Roman"/>
                <w:szCs w:val="20"/>
                <w:lang w:eastAsia="en-US"/>
              </w:rPr>
            </w:pPr>
            <w:r w:rsidRPr="00B1179D">
              <w:rPr>
                <w:rFonts w:eastAsia="Times New Roman"/>
                <w:szCs w:val="20"/>
                <w:lang w:eastAsia="en-US"/>
              </w:rPr>
              <w:fldChar w:fldCharType="begin" w:fldLock="1"/>
            </w:r>
            <w:r w:rsidRPr="00B1179D">
              <w:rPr>
                <w:rFonts w:eastAsia="Times New Roman"/>
                <w:szCs w:val="20"/>
                <w:lang w:eastAsia="en-US"/>
              </w:rPr>
              <w:instrText>IMPORT S:\\Marin\\Agenda\\!UNEP.WPG</w:instrText>
            </w:r>
            <w:r w:rsidRPr="00B1179D">
              <w:rPr>
                <w:rFonts w:eastAsia="Times New Roman"/>
                <w:szCs w:val="20"/>
                <w:lang w:eastAsia="en-US"/>
              </w:rPr>
              <w:fldChar w:fldCharType="separate"/>
            </w:r>
            <w:r w:rsidR="00000000">
              <w:rPr>
                <w:rFonts w:eastAsia="Times New Roman"/>
                <w:szCs w:val="20"/>
                <w:lang w:eastAsia="en-US"/>
              </w:rPr>
              <w:fldChar w:fldCharType="begin"/>
            </w:r>
            <w:r w:rsidR="00000000">
              <w:rPr>
                <w:rFonts w:eastAsia="Times New Roman"/>
                <w:szCs w:val="20"/>
                <w:lang w:eastAsia="en-US"/>
              </w:rPr>
              <w:instrText xml:space="preserve"> INCLUDEPICTURE  "S:\\Marin\\Agenda\\!UNEP.WPG" \* MERGEFORMATINET </w:instrText>
            </w:r>
            <w:r w:rsidR="00000000">
              <w:rPr>
                <w:rFonts w:eastAsia="Times New Roman"/>
                <w:szCs w:val="20"/>
                <w:lang w:eastAsia="en-US"/>
              </w:rPr>
              <w:fldChar w:fldCharType="separate"/>
            </w:r>
            <w:r w:rsidR="00661ADF">
              <w:rPr>
                <w:rFonts w:eastAsia="Times New Roman"/>
                <w:szCs w:val="20"/>
                <w:lang w:eastAsia="en-US"/>
              </w:rPr>
              <w:pict w14:anchorId="2EAD05B8">
                <v:shape id="_x0000_i1026" type="#_x0000_t75" style="width:52.8pt;height:57.6pt" fillcolor="window">
                  <v:imagedata r:id="rId10" r:href="rId11"/>
                </v:shape>
              </w:pict>
            </w:r>
            <w:r w:rsidR="00000000">
              <w:rPr>
                <w:rFonts w:eastAsia="Times New Roman"/>
                <w:szCs w:val="20"/>
                <w:lang w:eastAsia="en-US"/>
              </w:rPr>
              <w:fldChar w:fldCharType="end"/>
            </w:r>
            <w:r w:rsidRPr="00B1179D">
              <w:rPr>
                <w:rFonts w:eastAsia="Times New Roman"/>
                <w:szCs w:val="20"/>
                <w:lang w:eastAsia="en-US"/>
              </w:rPr>
              <w:fldChar w:fldCharType="end"/>
            </w:r>
          </w:p>
        </w:tc>
        <w:tc>
          <w:tcPr>
            <w:tcW w:w="8221" w:type="dxa"/>
          </w:tcPr>
          <w:p w14:paraId="1959C483" w14:textId="77777777" w:rsidR="00AA6543" w:rsidRPr="00B1179D" w:rsidRDefault="00AA6543" w:rsidP="00AA6543">
            <w:pPr>
              <w:rPr>
                <w:rFonts w:eastAsia="Times New Roman"/>
                <w:sz w:val="16"/>
                <w:szCs w:val="28"/>
                <w:lang w:eastAsia="en-US"/>
              </w:rPr>
            </w:pPr>
          </w:p>
          <w:p w14:paraId="23D4968E" w14:textId="77777777" w:rsidR="00AA6543" w:rsidRPr="006170BD" w:rsidRDefault="00AA6543" w:rsidP="006170BD">
            <w:pPr>
              <w:rPr>
                <w:b/>
                <w:bCs/>
                <w:sz w:val="36"/>
                <w:szCs w:val="36"/>
                <w:lang w:eastAsia="en-US"/>
              </w:rPr>
            </w:pPr>
            <w:r w:rsidRPr="006170BD">
              <w:rPr>
                <w:b/>
                <w:bCs/>
                <w:sz w:val="36"/>
                <w:szCs w:val="36"/>
                <w:lang w:eastAsia="en-US"/>
              </w:rPr>
              <w:t>Secretariat of the Rotterdam Convention</w:t>
            </w:r>
            <w:r w:rsidRPr="006170BD">
              <w:rPr>
                <w:b/>
                <w:bCs/>
                <w:sz w:val="36"/>
                <w:szCs w:val="36"/>
                <w:lang w:eastAsia="en-US"/>
              </w:rPr>
              <w:br/>
              <w:t xml:space="preserve">on the Prior Informed Consent Procedure for </w:t>
            </w:r>
            <w:r w:rsidRPr="006170BD">
              <w:rPr>
                <w:b/>
                <w:bCs/>
                <w:sz w:val="36"/>
                <w:szCs w:val="36"/>
                <w:lang w:eastAsia="en-US"/>
              </w:rPr>
              <w:br/>
              <w:t>Certain Hazardous Chemicals and Pesticides in International Trade</w:t>
            </w:r>
          </w:p>
        </w:tc>
      </w:tr>
    </w:tbl>
    <w:p w14:paraId="03172C8B" w14:textId="77777777" w:rsidR="00AA6543" w:rsidRPr="00AA6543" w:rsidRDefault="00AA6543" w:rsidP="00AA6543">
      <w:pPr>
        <w:rPr>
          <w:rFonts w:eastAsia="Times New Roman"/>
          <w:sz w:val="36"/>
          <w:szCs w:val="28"/>
          <w:lang w:eastAsia="en-US"/>
        </w:rPr>
        <w:sectPr w:rsidR="00AA6543" w:rsidRPr="00AA6543" w:rsidSect="003C4B91">
          <w:footerReference w:type="default" r:id="rId12"/>
          <w:headerReference w:type="first" r:id="rId13"/>
          <w:pgSz w:w="11907" w:h="16840" w:code="9"/>
          <w:pgMar w:top="907" w:right="994" w:bottom="1411" w:left="1411" w:header="533" w:footer="979" w:gutter="0"/>
          <w:cols w:space="708"/>
          <w:titlePg/>
          <w:docGrid w:linePitch="326"/>
        </w:sectPr>
      </w:pPr>
    </w:p>
    <w:p w14:paraId="2B14956F" w14:textId="77777777" w:rsidR="00F35D07" w:rsidRPr="006170BD" w:rsidRDefault="006170BD" w:rsidP="006170BD">
      <w:pPr>
        <w:pStyle w:val="Heading1"/>
      </w:pPr>
      <w:bookmarkStart w:id="0" w:name="_Toc154010803"/>
      <w:r w:rsidRPr="006170BD">
        <w:lastRenderedPageBreak/>
        <w:t xml:space="preserve">Table of </w:t>
      </w:r>
      <w:r w:rsidR="00F35D07" w:rsidRPr="006170BD">
        <w:t>Contents</w:t>
      </w:r>
      <w:bookmarkEnd w:id="0"/>
    </w:p>
    <w:p w14:paraId="4FB57AFF" w14:textId="2B47F993" w:rsidR="00623CC5" w:rsidRPr="006C72FE" w:rsidRDefault="008B550E">
      <w:pPr>
        <w:pStyle w:val="TOC1"/>
        <w:tabs>
          <w:tab w:val="right" w:leader="dot" w:pos="9492"/>
        </w:tabs>
        <w:rPr>
          <w:rFonts w:ascii="Calibri" w:eastAsia="Yu Mincho" w:hAnsi="Calibri"/>
          <w:noProof/>
          <w:kern w:val="2"/>
          <w:sz w:val="22"/>
          <w:szCs w:val="22"/>
          <w:lang w:val="en-US" w:eastAsia="ja-JP"/>
        </w:rPr>
      </w:pPr>
      <w:r>
        <w:fldChar w:fldCharType="begin"/>
      </w:r>
      <w:r>
        <w:instrText xml:space="preserve"> TOC \o "1-2" \h \z \u </w:instrText>
      </w:r>
      <w:r>
        <w:fldChar w:fldCharType="separate"/>
      </w:r>
      <w:hyperlink w:anchor="_Toc154010803" w:history="1">
        <w:r w:rsidR="00623CC5" w:rsidRPr="00743454">
          <w:rPr>
            <w:rStyle w:val="Hyperlink"/>
            <w:noProof/>
          </w:rPr>
          <w:t>Table of Contents</w:t>
        </w:r>
        <w:r w:rsidR="00623CC5">
          <w:rPr>
            <w:noProof/>
            <w:webHidden/>
          </w:rPr>
          <w:tab/>
        </w:r>
        <w:r w:rsidR="00623CC5">
          <w:rPr>
            <w:noProof/>
            <w:webHidden/>
          </w:rPr>
          <w:fldChar w:fldCharType="begin"/>
        </w:r>
        <w:r w:rsidR="00623CC5">
          <w:rPr>
            <w:noProof/>
            <w:webHidden/>
          </w:rPr>
          <w:instrText xml:space="preserve"> PAGEREF _Toc154010803 \h </w:instrText>
        </w:r>
        <w:r w:rsidR="00623CC5">
          <w:rPr>
            <w:noProof/>
            <w:webHidden/>
          </w:rPr>
        </w:r>
        <w:r w:rsidR="00623CC5">
          <w:rPr>
            <w:noProof/>
            <w:webHidden/>
          </w:rPr>
          <w:fldChar w:fldCharType="separate"/>
        </w:r>
        <w:r w:rsidR="00661ADF">
          <w:rPr>
            <w:noProof/>
            <w:webHidden/>
          </w:rPr>
          <w:t>2</w:t>
        </w:r>
        <w:r w:rsidR="00623CC5">
          <w:rPr>
            <w:noProof/>
            <w:webHidden/>
          </w:rPr>
          <w:fldChar w:fldCharType="end"/>
        </w:r>
      </w:hyperlink>
    </w:p>
    <w:p w14:paraId="003C77E9" w14:textId="42B62DAD"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04" w:history="1">
        <w:r w:rsidR="00623CC5" w:rsidRPr="00743454">
          <w:rPr>
            <w:rStyle w:val="Hyperlink"/>
            <w:noProof/>
          </w:rPr>
          <w:t>Introduction</w:t>
        </w:r>
        <w:r w:rsidR="00623CC5">
          <w:rPr>
            <w:noProof/>
            <w:webHidden/>
          </w:rPr>
          <w:tab/>
        </w:r>
        <w:r w:rsidR="00623CC5">
          <w:rPr>
            <w:noProof/>
            <w:webHidden/>
          </w:rPr>
          <w:fldChar w:fldCharType="begin"/>
        </w:r>
        <w:r w:rsidR="00623CC5">
          <w:rPr>
            <w:noProof/>
            <w:webHidden/>
          </w:rPr>
          <w:instrText xml:space="preserve"> PAGEREF _Toc154010804 \h </w:instrText>
        </w:r>
        <w:r w:rsidR="00623CC5">
          <w:rPr>
            <w:noProof/>
            <w:webHidden/>
          </w:rPr>
        </w:r>
        <w:r w:rsidR="00623CC5">
          <w:rPr>
            <w:noProof/>
            <w:webHidden/>
          </w:rPr>
          <w:fldChar w:fldCharType="separate"/>
        </w:r>
        <w:r w:rsidR="00661ADF">
          <w:rPr>
            <w:noProof/>
            <w:webHidden/>
          </w:rPr>
          <w:t>3</w:t>
        </w:r>
        <w:r w:rsidR="00623CC5">
          <w:rPr>
            <w:noProof/>
            <w:webHidden/>
          </w:rPr>
          <w:fldChar w:fldCharType="end"/>
        </w:r>
      </w:hyperlink>
    </w:p>
    <w:p w14:paraId="2AD0CF02" w14:textId="03E8F99E"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05" w:history="1">
        <w:r w:rsidR="00623CC5" w:rsidRPr="00743454">
          <w:rPr>
            <w:rStyle w:val="Hyperlink"/>
            <w:noProof/>
          </w:rPr>
          <w:t>Standard core set of abbreviations</w:t>
        </w:r>
        <w:r w:rsidR="00623CC5">
          <w:rPr>
            <w:noProof/>
            <w:webHidden/>
          </w:rPr>
          <w:tab/>
        </w:r>
        <w:r w:rsidR="00623CC5">
          <w:rPr>
            <w:noProof/>
            <w:webHidden/>
          </w:rPr>
          <w:fldChar w:fldCharType="begin"/>
        </w:r>
        <w:r w:rsidR="00623CC5">
          <w:rPr>
            <w:noProof/>
            <w:webHidden/>
          </w:rPr>
          <w:instrText xml:space="preserve"> PAGEREF _Toc154010805 \h </w:instrText>
        </w:r>
        <w:r w:rsidR="00623CC5">
          <w:rPr>
            <w:noProof/>
            <w:webHidden/>
          </w:rPr>
        </w:r>
        <w:r w:rsidR="00623CC5">
          <w:rPr>
            <w:noProof/>
            <w:webHidden/>
          </w:rPr>
          <w:fldChar w:fldCharType="separate"/>
        </w:r>
        <w:r w:rsidR="00661ADF">
          <w:rPr>
            <w:noProof/>
            <w:webHidden/>
          </w:rPr>
          <w:t>5</w:t>
        </w:r>
        <w:r w:rsidR="00623CC5">
          <w:rPr>
            <w:noProof/>
            <w:webHidden/>
          </w:rPr>
          <w:fldChar w:fldCharType="end"/>
        </w:r>
      </w:hyperlink>
    </w:p>
    <w:p w14:paraId="27A23D65" w14:textId="23036013" w:rsidR="00623CC5" w:rsidRPr="006C72FE" w:rsidRDefault="00000000">
      <w:pPr>
        <w:pStyle w:val="TOC1"/>
        <w:tabs>
          <w:tab w:val="left" w:pos="400"/>
          <w:tab w:val="right" w:leader="dot" w:pos="9492"/>
        </w:tabs>
        <w:rPr>
          <w:rFonts w:ascii="Calibri" w:eastAsia="Yu Mincho" w:hAnsi="Calibri"/>
          <w:noProof/>
          <w:kern w:val="2"/>
          <w:sz w:val="22"/>
          <w:szCs w:val="22"/>
          <w:lang w:val="en-US" w:eastAsia="ja-JP"/>
        </w:rPr>
      </w:pPr>
      <w:hyperlink w:anchor="_Toc154010806" w:history="1">
        <w:r w:rsidR="00623CC5" w:rsidRPr="00743454">
          <w:rPr>
            <w:rStyle w:val="Hyperlink"/>
            <w:noProof/>
          </w:rPr>
          <w:t>1.</w:t>
        </w:r>
        <w:r w:rsidR="00623CC5" w:rsidRPr="006C72FE">
          <w:rPr>
            <w:rFonts w:ascii="Calibri" w:eastAsia="Yu Mincho" w:hAnsi="Calibri"/>
            <w:noProof/>
            <w:kern w:val="2"/>
            <w:sz w:val="22"/>
            <w:szCs w:val="22"/>
            <w:lang w:val="en-US" w:eastAsia="ja-JP"/>
          </w:rPr>
          <w:tab/>
        </w:r>
        <w:r w:rsidR="00623CC5" w:rsidRPr="00743454">
          <w:rPr>
            <w:rStyle w:val="Hyperlink"/>
            <w:noProof/>
          </w:rPr>
          <w:t>Identification and uses (see Annex 1 for further details)</w:t>
        </w:r>
        <w:r w:rsidR="00623CC5">
          <w:rPr>
            <w:noProof/>
            <w:webHidden/>
          </w:rPr>
          <w:tab/>
        </w:r>
        <w:r w:rsidR="00623CC5">
          <w:rPr>
            <w:noProof/>
            <w:webHidden/>
          </w:rPr>
          <w:fldChar w:fldCharType="begin"/>
        </w:r>
        <w:r w:rsidR="00623CC5">
          <w:rPr>
            <w:noProof/>
            <w:webHidden/>
          </w:rPr>
          <w:instrText xml:space="preserve"> PAGEREF _Toc154010806 \h </w:instrText>
        </w:r>
        <w:r w:rsidR="00623CC5">
          <w:rPr>
            <w:noProof/>
            <w:webHidden/>
          </w:rPr>
        </w:r>
        <w:r w:rsidR="00623CC5">
          <w:rPr>
            <w:noProof/>
            <w:webHidden/>
          </w:rPr>
          <w:fldChar w:fldCharType="separate"/>
        </w:r>
        <w:r w:rsidR="00661ADF">
          <w:rPr>
            <w:noProof/>
            <w:webHidden/>
          </w:rPr>
          <w:t>7</w:t>
        </w:r>
        <w:r w:rsidR="00623CC5">
          <w:rPr>
            <w:noProof/>
            <w:webHidden/>
          </w:rPr>
          <w:fldChar w:fldCharType="end"/>
        </w:r>
      </w:hyperlink>
    </w:p>
    <w:p w14:paraId="161A205D" w14:textId="79927D16" w:rsidR="00623CC5" w:rsidRPr="006C72FE" w:rsidRDefault="00000000">
      <w:pPr>
        <w:pStyle w:val="TOC1"/>
        <w:tabs>
          <w:tab w:val="left" w:pos="400"/>
          <w:tab w:val="right" w:leader="dot" w:pos="9492"/>
        </w:tabs>
        <w:rPr>
          <w:rFonts w:ascii="Calibri" w:eastAsia="Yu Mincho" w:hAnsi="Calibri"/>
          <w:noProof/>
          <w:kern w:val="2"/>
          <w:sz w:val="22"/>
          <w:szCs w:val="22"/>
          <w:lang w:val="en-US" w:eastAsia="ja-JP"/>
        </w:rPr>
      </w:pPr>
      <w:hyperlink w:anchor="_Toc154010807" w:history="1">
        <w:r w:rsidR="00623CC5" w:rsidRPr="00743454">
          <w:rPr>
            <w:rStyle w:val="Hyperlink"/>
            <w:noProof/>
          </w:rPr>
          <w:t>2.</w:t>
        </w:r>
        <w:r w:rsidR="00623CC5" w:rsidRPr="006C72FE">
          <w:rPr>
            <w:rFonts w:ascii="Calibri" w:eastAsia="Yu Mincho" w:hAnsi="Calibri"/>
            <w:noProof/>
            <w:kern w:val="2"/>
            <w:sz w:val="22"/>
            <w:szCs w:val="22"/>
            <w:lang w:val="en-US" w:eastAsia="ja-JP"/>
          </w:rPr>
          <w:tab/>
        </w:r>
        <w:r w:rsidR="00623CC5" w:rsidRPr="00743454">
          <w:rPr>
            <w:rStyle w:val="Hyperlink"/>
            <w:noProof/>
          </w:rPr>
          <w:t>Reasons for inclusion in the PIC procedure</w:t>
        </w:r>
        <w:r w:rsidR="00623CC5">
          <w:rPr>
            <w:noProof/>
            <w:webHidden/>
          </w:rPr>
          <w:tab/>
        </w:r>
        <w:r w:rsidR="00623CC5">
          <w:rPr>
            <w:noProof/>
            <w:webHidden/>
          </w:rPr>
          <w:fldChar w:fldCharType="begin"/>
        </w:r>
        <w:r w:rsidR="00623CC5">
          <w:rPr>
            <w:noProof/>
            <w:webHidden/>
          </w:rPr>
          <w:instrText xml:space="preserve"> PAGEREF _Toc154010807 \h </w:instrText>
        </w:r>
        <w:r w:rsidR="00623CC5">
          <w:rPr>
            <w:noProof/>
            <w:webHidden/>
          </w:rPr>
        </w:r>
        <w:r w:rsidR="00623CC5">
          <w:rPr>
            <w:noProof/>
            <w:webHidden/>
          </w:rPr>
          <w:fldChar w:fldCharType="separate"/>
        </w:r>
        <w:r w:rsidR="00661ADF">
          <w:rPr>
            <w:noProof/>
            <w:webHidden/>
          </w:rPr>
          <w:t>8</w:t>
        </w:r>
        <w:r w:rsidR="00623CC5">
          <w:rPr>
            <w:noProof/>
            <w:webHidden/>
          </w:rPr>
          <w:fldChar w:fldCharType="end"/>
        </w:r>
      </w:hyperlink>
    </w:p>
    <w:p w14:paraId="03584D01" w14:textId="3CDF0E9D"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08" w:history="1">
        <w:r w:rsidR="00623CC5" w:rsidRPr="00743454">
          <w:rPr>
            <w:rStyle w:val="Hyperlink"/>
            <w:noProof/>
          </w:rPr>
          <w:t>2.1</w:t>
        </w:r>
        <w:r w:rsidR="00623CC5" w:rsidRPr="006C72FE">
          <w:rPr>
            <w:rFonts w:ascii="Calibri" w:eastAsia="Yu Mincho" w:hAnsi="Calibri"/>
            <w:noProof/>
            <w:kern w:val="2"/>
            <w:sz w:val="22"/>
            <w:szCs w:val="22"/>
            <w:lang w:val="en-US" w:eastAsia="ja-JP"/>
          </w:rPr>
          <w:tab/>
        </w:r>
        <w:r w:rsidR="00623CC5" w:rsidRPr="00743454">
          <w:rPr>
            <w:rStyle w:val="Hyperlink"/>
            <w:noProof/>
          </w:rPr>
          <w:t>Final regulatory action (see Annex 2 for further details)</w:t>
        </w:r>
        <w:r w:rsidR="00623CC5">
          <w:rPr>
            <w:noProof/>
            <w:webHidden/>
          </w:rPr>
          <w:tab/>
        </w:r>
        <w:r w:rsidR="00623CC5">
          <w:rPr>
            <w:noProof/>
            <w:webHidden/>
          </w:rPr>
          <w:fldChar w:fldCharType="begin"/>
        </w:r>
        <w:r w:rsidR="00623CC5">
          <w:rPr>
            <w:noProof/>
            <w:webHidden/>
          </w:rPr>
          <w:instrText xml:space="preserve"> PAGEREF _Toc154010808 \h </w:instrText>
        </w:r>
        <w:r w:rsidR="00623CC5">
          <w:rPr>
            <w:noProof/>
            <w:webHidden/>
          </w:rPr>
        </w:r>
        <w:r w:rsidR="00623CC5">
          <w:rPr>
            <w:noProof/>
            <w:webHidden/>
          </w:rPr>
          <w:fldChar w:fldCharType="separate"/>
        </w:r>
        <w:r w:rsidR="00661ADF">
          <w:rPr>
            <w:noProof/>
            <w:webHidden/>
          </w:rPr>
          <w:t>8</w:t>
        </w:r>
        <w:r w:rsidR="00623CC5">
          <w:rPr>
            <w:noProof/>
            <w:webHidden/>
          </w:rPr>
          <w:fldChar w:fldCharType="end"/>
        </w:r>
      </w:hyperlink>
    </w:p>
    <w:p w14:paraId="6D8EE232" w14:textId="27997C19"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09" w:history="1">
        <w:r w:rsidR="00623CC5" w:rsidRPr="00743454">
          <w:rPr>
            <w:rStyle w:val="Hyperlink"/>
            <w:noProof/>
          </w:rPr>
          <w:t>2.2</w:t>
        </w:r>
        <w:r w:rsidR="00623CC5" w:rsidRPr="006C72FE">
          <w:rPr>
            <w:rFonts w:ascii="Calibri" w:eastAsia="Yu Mincho" w:hAnsi="Calibri"/>
            <w:noProof/>
            <w:kern w:val="2"/>
            <w:sz w:val="22"/>
            <w:szCs w:val="22"/>
            <w:lang w:val="en-US" w:eastAsia="ja-JP"/>
          </w:rPr>
          <w:tab/>
        </w:r>
        <w:r w:rsidR="00623CC5" w:rsidRPr="00743454">
          <w:rPr>
            <w:rStyle w:val="Hyperlink"/>
            <w:noProof/>
          </w:rPr>
          <w:t>Risk evaluation (see Annex 1 for further details)</w:t>
        </w:r>
        <w:r w:rsidR="00623CC5">
          <w:rPr>
            <w:noProof/>
            <w:webHidden/>
          </w:rPr>
          <w:tab/>
        </w:r>
        <w:r w:rsidR="00623CC5">
          <w:rPr>
            <w:noProof/>
            <w:webHidden/>
          </w:rPr>
          <w:fldChar w:fldCharType="begin"/>
        </w:r>
        <w:r w:rsidR="00623CC5">
          <w:rPr>
            <w:noProof/>
            <w:webHidden/>
          </w:rPr>
          <w:instrText xml:space="preserve"> PAGEREF _Toc154010809 \h </w:instrText>
        </w:r>
        <w:r w:rsidR="00623CC5">
          <w:rPr>
            <w:noProof/>
            <w:webHidden/>
          </w:rPr>
        </w:r>
        <w:r w:rsidR="00623CC5">
          <w:rPr>
            <w:noProof/>
            <w:webHidden/>
          </w:rPr>
          <w:fldChar w:fldCharType="separate"/>
        </w:r>
        <w:r w:rsidR="00661ADF">
          <w:rPr>
            <w:noProof/>
            <w:webHidden/>
          </w:rPr>
          <w:t>8</w:t>
        </w:r>
        <w:r w:rsidR="00623CC5">
          <w:rPr>
            <w:noProof/>
            <w:webHidden/>
          </w:rPr>
          <w:fldChar w:fldCharType="end"/>
        </w:r>
      </w:hyperlink>
    </w:p>
    <w:p w14:paraId="1D889945" w14:textId="56D8E2B2" w:rsidR="00623CC5" w:rsidRPr="006C72FE" w:rsidRDefault="00000000">
      <w:pPr>
        <w:pStyle w:val="TOC1"/>
        <w:tabs>
          <w:tab w:val="left" w:pos="400"/>
          <w:tab w:val="right" w:leader="dot" w:pos="9492"/>
        </w:tabs>
        <w:rPr>
          <w:rFonts w:ascii="Calibri" w:eastAsia="Yu Mincho" w:hAnsi="Calibri"/>
          <w:noProof/>
          <w:kern w:val="2"/>
          <w:sz w:val="22"/>
          <w:szCs w:val="22"/>
          <w:lang w:val="en-US" w:eastAsia="ja-JP"/>
        </w:rPr>
      </w:pPr>
      <w:hyperlink w:anchor="_Toc154010810" w:history="1">
        <w:r w:rsidR="00623CC5" w:rsidRPr="00743454">
          <w:rPr>
            <w:rStyle w:val="Hyperlink"/>
            <w:noProof/>
          </w:rPr>
          <w:t>3.</w:t>
        </w:r>
        <w:r w:rsidR="00623CC5" w:rsidRPr="006C72FE">
          <w:rPr>
            <w:rFonts w:ascii="Calibri" w:eastAsia="Yu Mincho" w:hAnsi="Calibri"/>
            <w:noProof/>
            <w:kern w:val="2"/>
            <w:sz w:val="22"/>
            <w:szCs w:val="22"/>
            <w:lang w:val="en-US" w:eastAsia="ja-JP"/>
          </w:rPr>
          <w:tab/>
        </w:r>
        <w:r w:rsidR="00623CC5" w:rsidRPr="00743454">
          <w:rPr>
            <w:rStyle w:val="Hyperlink"/>
            <w:noProof/>
          </w:rPr>
          <w:t>Protective measures that have been applied concerning the chemical</w:t>
        </w:r>
        <w:r w:rsidR="00623CC5">
          <w:rPr>
            <w:noProof/>
            <w:webHidden/>
          </w:rPr>
          <w:tab/>
        </w:r>
        <w:r w:rsidR="00623CC5">
          <w:rPr>
            <w:noProof/>
            <w:webHidden/>
          </w:rPr>
          <w:fldChar w:fldCharType="begin"/>
        </w:r>
        <w:r w:rsidR="00623CC5">
          <w:rPr>
            <w:noProof/>
            <w:webHidden/>
          </w:rPr>
          <w:instrText xml:space="preserve"> PAGEREF _Toc154010810 \h </w:instrText>
        </w:r>
        <w:r w:rsidR="00623CC5">
          <w:rPr>
            <w:noProof/>
            <w:webHidden/>
          </w:rPr>
        </w:r>
        <w:r w:rsidR="00623CC5">
          <w:rPr>
            <w:noProof/>
            <w:webHidden/>
          </w:rPr>
          <w:fldChar w:fldCharType="separate"/>
        </w:r>
        <w:r w:rsidR="00661ADF">
          <w:rPr>
            <w:noProof/>
            <w:webHidden/>
          </w:rPr>
          <w:t>10</w:t>
        </w:r>
        <w:r w:rsidR="00623CC5">
          <w:rPr>
            <w:noProof/>
            <w:webHidden/>
          </w:rPr>
          <w:fldChar w:fldCharType="end"/>
        </w:r>
      </w:hyperlink>
    </w:p>
    <w:p w14:paraId="1C6C9E59" w14:textId="1906FDAE"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1" w:history="1">
        <w:r w:rsidR="00623CC5" w:rsidRPr="00743454">
          <w:rPr>
            <w:rStyle w:val="Hyperlink"/>
            <w:noProof/>
          </w:rPr>
          <w:t>3.1</w:t>
        </w:r>
        <w:r w:rsidR="00623CC5" w:rsidRPr="006C72FE">
          <w:rPr>
            <w:rFonts w:ascii="Calibri" w:eastAsia="Yu Mincho" w:hAnsi="Calibri"/>
            <w:noProof/>
            <w:kern w:val="2"/>
            <w:sz w:val="22"/>
            <w:szCs w:val="22"/>
            <w:lang w:val="en-US" w:eastAsia="ja-JP"/>
          </w:rPr>
          <w:tab/>
        </w:r>
        <w:r w:rsidR="00623CC5" w:rsidRPr="00743454">
          <w:rPr>
            <w:rStyle w:val="Hyperlink"/>
            <w:noProof/>
          </w:rPr>
          <w:t>Regulatory measures to reduce exposure</w:t>
        </w:r>
        <w:r w:rsidR="00623CC5">
          <w:rPr>
            <w:noProof/>
            <w:webHidden/>
          </w:rPr>
          <w:tab/>
        </w:r>
        <w:r w:rsidR="00623CC5">
          <w:rPr>
            <w:noProof/>
            <w:webHidden/>
          </w:rPr>
          <w:fldChar w:fldCharType="begin"/>
        </w:r>
        <w:r w:rsidR="00623CC5">
          <w:rPr>
            <w:noProof/>
            <w:webHidden/>
          </w:rPr>
          <w:instrText xml:space="preserve"> PAGEREF _Toc154010811 \h </w:instrText>
        </w:r>
        <w:r w:rsidR="00623CC5">
          <w:rPr>
            <w:noProof/>
            <w:webHidden/>
          </w:rPr>
        </w:r>
        <w:r w:rsidR="00623CC5">
          <w:rPr>
            <w:noProof/>
            <w:webHidden/>
          </w:rPr>
          <w:fldChar w:fldCharType="separate"/>
        </w:r>
        <w:r w:rsidR="00661ADF">
          <w:rPr>
            <w:noProof/>
            <w:webHidden/>
          </w:rPr>
          <w:t>10</w:t>
        </w:r>
        <w:r w:rsidR="00623CC5">
          <w:rPr>
            <w:noProof/>
            <w:webHidden/>
          </w:rPr>
          <w:fldChar w:fldCharType="end"/>
        </w:r>
      </w:hyperlink>
    </w:p>
    <w:p w14:paraId="0E036B3E" w14:textId="360D3BEB"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2" w:history="1">
        <w:r w:rsidR="00623CC5" w:rsidRPr="00743454">
          <w:rPr>
            <w:rStyle w:val="Hyperlink"/>
            <w:noProof/>
          </w:rPr>
          <w:t>3.2</w:t>
        </w:r>
        <w:r w:rsidR="00623CC5" w:rsidRPr="006C72FE">
          <w:rPr>
            <w:rFonts w:ascii="Calibri" w:eastAsia="Yu Mincho" w:hAnsi="Calibri"/>
            <w:noProof/>
            <w:kern w:val="2"/>
            <w:sz w:val="22"/>
            <w:szCs w:val="22"/>
            <w:lang w:val="en-US" w:eastAsia="ja-JP"/>
          </w:rPr>
          <w:tab/>
        </w:r>
        <w:r w:rsidR="00623CC5" w:rsidRPr="00743454">
          <w:rPr>
            <w:rStyle w:val="Hyperlink"/>
            <w:noProof/>
          </w:rPr>
          <w:t>Other measures to reduce exposure</w:t>
        </w:r>
        <w:r w:rsidR="00623CC5">
          <w:rPr>
            <w:noProof/>
            <w:webHidden/>
          </w:rPr>
          <w:tab/>
        </w:r>
        <w:r w:rsidR="00623CC5">
          <w:rPr>
            <w:noProof/>
            <w:webHidden/>
          </w:rPr>
          <w:fldChar w:fldCharType="begin"/>
        </w:r>
        <w:r w:rsidR="00623CC5">
          <w:rPr>
            <w:noProof/>
            <w:webHidden/>
          </w:rPr>
          <w:instrText xml:space="preserve"> PAGEREF _Toc154010812 \h </w:instrText>
        </w:r>
        <w:r w:rsidR="00623CC5">
          <w:rPr>
            <w:noProof/>
            <w:webHidden/>
          </w:rPr>
        </w:r>
        <w:r w:rsidR="00623CC5">
          <w:rPr>
            <w:noProof/>
            <w:webHidden/>
          </w:rPr>
          <w:fldChar w:fldCharType="separate"/>
        </w:r>
        <w:r w:rsidR="00661ADF">
          <w:rPr>
            <w:noProof/>
            <w:webHidden/>
          </w:rPr>
          <w:t>11</w:t>
        </w:r>
        <w:r w:rsidR="00623CC5">
          <w:rPr>
            <w:noProof/>
            <w:webHidden/>
          </w:rPr>
          <w:fldChar w:fldCharType="end"/>
        </w:r>
      </w:hyperlink>
    </w:p>
    <w:p w14:paraId="3435D1C3" w14:textId="4C5C11ED"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3" w:history="1">
        <w:r w:rsidR="00623CC5" w:rsidRPr="00743454">
          <w:rPr>
            <w:rStyle w:val="Hyperlink"/>
            <w:noProof/>
          </w:rPr>
          <w:t>3.3</w:t>
        </w:r>
        <w:r w:rsidR="00623CC5" w:rsidRPr="006C72FE">
          <w:rPr>
            <w:rFonts w:ascii="Calibri" w:eastAsia="Yu Mincho" w:hAnsi="Calibri"/>
            <w:noProof/>
            <w:kern w:val="2"/>
            <w:sz w:val="22"/>
            <w:szCs w:val="22"/>
            <w:lang w:val="en-US" w:eastAsia="ja-JP"/>
          </w:rPr>
          <w:tab/>
        </w:r>
        <w:r w:rsidR="00623CC5" w:rsidRPr="00743454">
          <w:rPr>
            <w:rStyle w:val="Hyperlink"/>
            <w:noProof/>
          </w:rPr>
          <w:t>Alternatives</w:t>
        </w:r>
        <w:r w:rsidR="00623CC5">
          <w:rPr>
            <w:noProof/>
            <w:webHidden/>
          </w:rPr>
          <w:tab/>
        </w:r>
        <w:r w:rsidR="00623CC5">
          <w:rPr>
            <w:noProof/>
            <w:webHidden/>
          </w:rPr>
          <w:fldChar w:fldCharType="begin"/>
        </w:r>
        <w:r w:rsidR="00623CC5">
          <w:rPr>
            <w:noProof/>
            <w:webHidden/>
          </w:rPr>
          <w:instrText xml:space="preserve"> PAGEREF _Toc154010813 \h </w:instrText>
        </w:r>
        <w:r w:rsidR="00623CC5">
          <w:rPr>
            <w:noProof/>
            <w:webHidden/>
          </w:rPr>
        </w:r>
        <w:r w:rsidR="00623CC5">
          <w:rPr>
            <w:noProof/>
            <w:webHidden/>
          </w:rPr>
          <w:fldChar w:fldCharType="separate"/>
        </w:r>
        <w:r w:rsidR="00661ADF">
          <w:rPr>
            <w:noProof/>
            <w:webHidden/>
          </w:rPr>
          <w:t>11</w:t>
        </w:r>
        <w:r w:rsidR="00623CC5">
          <w:rPr>
            <w:noProof/>
            <w:webHidden/>
          </w:rPr>
          <w:fldChar w:fldCharType="end"/>
        </w:r>
      </w:hyperlink>
    </w:p>
    <w:p w14:paraId="0FBCEE13" w14:textId="75E302D6"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4" w:history="1">
        <w:r w:rsidR="00623CC5" w:rsidRPr="00743454">
          <w:rPr>
            <w:rStyle w:val="Hyperlink"/>
            <w:noProof/>
          </w:rPr>
          <w:t>3.4</w:t>
        </w:r>
        <w:r w:rsidR="00623CC5" w:rsidRPr="006C72FE">
          <w:rPr>
            <w:rFonts w:ascii="Calibri" w:eastAsia="Yu Mincho" w:hAnsi="Calibri"/>
            <w:noProof/>
            <w:kern w:val="2"/>
            <w:sz w:val="22"/>
            <w:szCs w:val="22"/>
            <w:lang w:val="en-US" w:eastAsia="ja-JP"/>
          </w:rPr>
          <w:tab/>
        </w:r>
        <w:r w:rsidR="00623CC5" w:rsidRPr="00743454">
          <w:rPr>
            <w:rStyle w:val="Hyperlink"/>
            <w:noProof/>
          </w:rPr>
          <w:t>Socio-economic effects</w:t>
        </w:r>
        <w:r w:rsidR="00623CC5">
          <w:rPr>
            <w:noProof/>
            <w:webHidden/>
          </w:rPr>
          <w:tab/>
        </w:r>
        <w:r w:rsidR="00623CC5">
          <w:rPr>
            <w:noProof/>
            <w:webHidden/>
          </w:rPr>
          <w:fldChar w:fldCharType="begin"/>
        </w:r>
        <w:r w:rsidR="00623CC5">
          <w:rPr>
            <w:noProof/>
            <w:webHidden/>
          </w:rPr>
          <w:instrText xml:space="preserve"> PAGEREF _Toc154010814 \h </w:instrText>
        </w:r>
        <w:r w:rsidR="00623CC5">
          <w:rPr>
            <w:noProof/>
            <w:webHidden/>
          </w:rPr>
        </w:r>
        <w:r w:rsidR="00623CC5">
          <w:rPr>
            <w:noProof/>
            <w:webHidden/>
          </w:rPr>
          <w:fldChar w:fldCharType="separate"/>
        </w:r>
        <w:r w:rsidR="00661ADF">
          <w:rPr>
            <w:noProof/>
            <w:webHidden/>
          </w:rPr>
          <w:t>11</w:t>
        </w:r>
        <w:r w:rsidR="00623CC5">
          <w:rPr>
            <w:noProof/>
            <w:webHidden/>
          </w:rPr>
          <w:fldChar w:fldCharType="end"/>
        </w:r>
      </w:hyperlink>
    </w:p>
    <w:p w14:paraId="5E060646" w14:textId="6BBD05AF" w:rsidR="00623CC5" w:rsidRPr="006C72FE" w:rsidRDefault="00000000">
      <w:pPr>
        <w:pStyle w:val="TOC1"/>
        <w:tabs>
          <w:tab w:val="left" w:pos="400"/>
          <w:tab w:val="right" w:leader="dot" w:pos="9492"/>
        </w:tabs>
        <w:rPr>
          <w:rFonts w:ascii="Calibri" w:eastAsia="Yu Mincho" w:hAnsi="Calibri"/>
          <w:noProof/>
          <w:kern w:val="2"/>
          <w:sz w:val="22"/>
          <w:szCs w:val="22"/>
          <w:lang w:val="en-US" w:eastAsia="ja-JP"/>
        </w:rPr>
      </w:pPr>
      <w:hyperlink w:anchor="_Toc154010815" w:history="1">
        <w:r w:rsidR="00623CC5" w:rsidRPr="00743454">
          <w:rPr>
            <w:rStyle w:val="Hyperlink"/>
            <w:noProof/>
          </w:rPr>
          <w:t>4.</w:t>
        </w:r>
        <w:r w:rsidR="00623CC5" w:rsidRPr="006C72FE">
          <w:rPr>
            <w:rFonts w:ascii="Calibri" w:eastAsia="Yu Mincho" w:hAnsi="Calibri"/>
            <w:noProof/>
            <w:kern w:val="2"/>
            <w:sz w:val="22"/>
            <w:szCs w:val="22"/>
            <w:lang w:val="en-US" w:eastAsia="ja-JP"/>
          </w:rPr>
          <w:tab/>
        </w:r>
        <w:r w:rsidR="00623CC5" w:rsidRPr="00743454">
          <w:rPr>
            <w:rStyle w:val="Hyperlink"/>
            <w:noProof/>
          </w:rPr>
          <w:t>Hazards and risks to human health and the environment</w:t>
        </w:r>
        <w:r w:rsidR="00623CC5">
          <w:rPr>
            <w:noProof/>
            <w:webHidden/>
          </w:rPr>
          <w:tab/>
        </w:r>
        <w:r w:rsidR="00623CC5">
          <w:rPr>
            <w:noProof/>
            <w:webHidden/>
          </w:rPr>
          <w:fldChar w:fldCharType="begin"/>
        </w:r>
        <w:r w:rsidR="00623CC5">
          <w:rPr>
            <w:noProof/>
            <w:webHidden/>
          </w:rPr>
          <w:instrText xml:space="preserve"> PAGEREF _Toc154010815 \h </w:instrText>
        </w:r>
        <w:r w:rsidR="00623CC5">
          <w:rPr>
            <w:noProof/>
            <w:webHidden/>
          </w:rPr>
        </w:r>
        <w:r w:rsidR="00623CC5">
          <w:rPr>
            <w:noProof/>
            <w:webHidden/>
          </w:rPr>
          <w:fldChar w:fldCharType="separate"/>
        </w:r>
        <w:r w:rsidR="00661ADF">
          <w:rPr>
            <w:noProof/>
            <w:webHidden/>
          </w:rPr>
          <w:t>12</w:t>
        </w:r>
        <w:r w:rsidR="00623CC5">
          <w:rPr>
            <w:noProof/>
            <w:webHidden/>
          </w:rPr>
          <w:fldChar w:fldCharType="end"/>
        </w:r>
      </w:hyperlink>
    </w:p>
    <w:p w14:paraId="282B8E30" w14:textId="154CD1F3"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6" w:history="1">
        <w:r w:rsidR="00623CC5" w:rsidRPr="00743454">
          <w:rPr>
            <w:rStyle w:val="Hyperlink"/>
            <w:noProof/>
          </w:rPr>
          <w:t>4.1</w:t>
        </w:r>
        <w:r w:rsidR="00623CC5" w:rsidRPr="006C72FE">
          <w:rPr>
            <w:rFonts w:ascii="Calibri" w:eastAsia="Yu Mincho" w:hAnsi="Calibri"/>
            <w:noProof/>
            <w:kern w:val="2"/>
            <w:sz w:val="22"/>
            <w:szCs w:val="22"/>
            <w:lang w:val="en-US" w:eastAsia="ja-JP"/>
          </w:rPr>
          <w:tab/>
        </w:r>
        <w:r w:rsidR="00623CC5" w:rsidRPr="00743454">
          <w:rPr>
            <w:rStyle w:val="Hyperlink"/>
            <w:noProof/>
          </w:rPr>
          <w:t>Hazard Classification</w:t>
        </w:r>
        <w:r w:rsidR="00623CC5">
          <w:rPr>
            <w:noProof/>
            <w:webHidden/>
          </w:rPr>
          <w:tab/>
        </w:r>
        <w:r w:rsidR="00623CC5">
          <w:rPr>
            <w:noProof/>
            <w:webHidden/>
          </w:rPr>
          <w:fldChar w:fldCharType="begin"/>
        </w:r>
        <w:r w:rsidR="00623CC5">
          <w:rPr>
            <w:noProof/>
            <w:webHidden/>
          </w:rPr>
          <w:instrText xml:space="preserve"> PAGEREF _Toc154010816 \h </w:instrText>
        </w:r>
        <w:r w:rsidR="00623CC5">
          <w:rPr>
            <w:noProof/>
            <w:webHidden/>
          </w:rPr>
        </w:r>
        <w:r w:rsidR="00623CC5">
          <w:rPr>
            <w:noProof/>
            <w:webHidden/>
          </w:rPr>
          <w:fldChar w:fldCharType="separate"/>
        </w:r>
        <w:r w:rsidR="00661ADF">
          <w:rPr>
            <w:noProof/>
            <w:webHidden/>
          </w:rPr>
          <w:t>12</w:t>
        </w:r>
        <w:r w:rsidR="00623CC5">
          <w:rPr>
            <w:noProof/>
            <w:webHidden/>
          </w:rPr>
          <w:fldChar w:fldCharType="end"/>
        </w:r>
      </w:hyperlink>
    </w:p>
    <w:p w14:paraId="29FA8A5A" w14:textId="7E14BD28"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7" w:history="1">
        <w:r w:rsidR="00623CC5" w:rsidRPr="00743454">
          <w:rPr>
            <w:rStyle w:val="Hyperlink"/>
            <w:noProof/>
          </w:rPr>
          <w:t>4.2</w:t>
        </w:r>
        <w:r w:rsidR="00623CC5" w:rsidRPr="006C72FE">
          <w:rPr>
            <w:rFonts w:ascii="Calibri" w:eastAsia="Yu Mincho" w:hAnsi="Calibri"/>
            <w:noProof/>
            <w:kern w:val="2"/>
            <w:sz w:val="22"/>
            <w:szCs w:val="22"/>
            <w:lang w:val="en-US" w:eastAsia="ja-JP"/>
          </w:rPr>
          <w:tab/>
        </w:r>
        <w:r w:rsidR="00623CC5" w:rsidRPr="00743454">
          <w:rPr>
            <w:rStyle w:val="Hyperlink"/>
            <w:noProof/>
          </w:rPr>
          <w:t>Exposure limits</w:t>
        </w:r>
        <w:r w:rsidR="00623CC5">
          <w:rPr>
            <w:noProof/>
            <w:webHidden/>
          </w:rPr>
          <w:tab/>
        </w:r>
        <w:r w:rsidR="00623CC5">
          <w:rPr>
            <w:noProof/>
            <w:webHidden/>
          </w:rPr>
          <w:fldChar w:fldCharType="begin"/>
        </w:r>
        <w:r w:rsidR="00623CC5">
          <w:rPr>
            <w:noProof/>
            <w:webHidden/>
          </w:rPr>
          <w:instrText xml:space="preserve"> PAGEREF _Toc154010817 \h </w:instrText>
        </w:r>
        <w:r w:rsidR="00623CC5">
          <w:rPr>
            <w:noProof/>
            <w:webHidden/>
          </w:rPr>
        </w:r>
        <w:r w:rsidR="00623CC5">
          <w:rPr>
            <w:noProof/>
            <w:webHidden/>
          </w:rPr>
          <w:fldChar w:fldCharType="separate"/>
        </w:r>
        <w:r w:rsidR="00661ADF">
          <w:rPr>
            <w:noProof/>
            <w:webHidden/>
          </w:rPr>
          <w:t>12</w:t>
        </w:r>
        <w:r w:rsidR="00623CC5">
          <w:rPr>
            <w:noProof/>
            <w:webHidden/>
          </w:rPr>
          <w:fldChar w:fldCharType="end"/>
        </w:r>
      </w:hyperlink>
    </w:p>
    <w:p w14:paraId="0B9A5A0B" w14:textId="7930BF6C"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8" w:history="1">
        <w:r w:rsidR="00623CC5" w:rsidRPr="00743454">
          <w:rPr>
            <w:rStyle w:val="Hyperlink"/>
            <w:noProof/>
          </w:rPr>
          <w:t>4.3</w:t>
        </w:r>
        <w:r w:rsidR="00623CC5" w:rsidRPr="006C72FE">
          <w:rPr>
            <w:rFonts w:ascii="Calibri" w:eastAsia="Yu Mincho" w:hAnsi="Calibri"/>
            <w:noProof/>
            <w:kern w:val="2"/>
            <w:sz w:val="22"/>
            <w:szCs w:val="22"/>
            <w:lang w:val="en-US" w:eastAsia="ja-JP"/>
          </w:rPr>
          <w:tab/>
        </w:r>
        <w:r w:rsidR="00623CC5" w:rsidRPr="00743454">
          <w:rPr>
            <w:rStyle w:val="Hyperlink"/>
            <w:noProof/>
          </w:rPr>
          <w:t>Packaging and labelling</w:t>
        </w:r>
        <w:r w:rsidR="00623CC5">
          <w:rPr>
            <w:noProof/>
            <w:webHidden/>
          </w:rPr>
          <w:tab/>
        </w:r>
        <w:r w:rsidR="00623CC5">
          <w:rPr>
            <w:noProof/>
            <w:webHidden/>
          </w:rPr>
          <w:fldChar w:fldCharType="begin"/>
        </w:r>
        <w:r w:rsidR="00623CC5">
          <w:rPr>
            <w:noProof/>
            <w:webHidden/>
          </w:rPr>
          <w:instrText xml:space="preserve"> PAGEREF _Toc154010818 \h </w:instrText>
        </w:r>
        <w:r w:rsidR="00623CC5">
          <w:rPr>
            <w:noProof/>
            <w:webHidden/>
          </w:rPr>
        </w:r>
        <w:r w:rsidR="00623CC5">
          <w:rPr>
            <w:noProof/>
            <w:webHidden/>
          </w:rPr>
          <w:fldChar w:fldCharType="separate"/>
        </w:r>
        <w:r w:rsidR="00661ADF">
          <w:rPr>
            <w:noProof/>
            <w:webHidden/>
          </w:rPr>
          <w:t>13</w:t>
        </w:r>
        <w:r w:rsidR="00623CC5">
          <w:rPr>
            <w:noProof/>
            <w:webHidden/>
          </w:rPr>
          <w:fldChar w:fldCharType="end"/>
        </w:r>
      </w:hyperlink>
    </w:p>
    <w:p w14:paraId="3B7D0614" w14:textId="18E6C5B3"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19" w:history="1">
        <w:r w:rsidR="00623CC5" w:rsidRPr="00743454">
          <w:rPr>
            <w:rStyle w:val="Hyperlink"/>
            <w:noProof/>
          </w:rPr>
          <w:t>4.4</w:t>
        </w:r>
        <w:r w:rsidR="00623CC5" w:rsidRPr="006C72FE">
          <w:rPr>
            <w:rFonts w:ascii="Calibri" w:eastAsia="Yu Mincho" w:hAnsi="Calibri"/>
            <w:noProof/>
            <w:kern w:val="2"/>
            <w:sz w:val="22"/>
            <w:szCs w:val="22"/>
            <w:lang w:val="en-US" w:eastAsia="ja-JP"/>
          </w:rPr>
          <w:tab/>
        </w:r>
        <w:r w:rsidR="00623CC5" w:rsidRPr="00743454">
          <w:rPr>
            <w:rStyle w:val="Hyperlink"/>
            <w:noProof/>
          </w:rPr>
          <w:t>First aid</w:t>
        </w:r>
        <w:r w:rsidR="00623CC5">
          <w:rPr>
            <w:noProof/>
            <w:webHidden/>
          </w:rPr>
          <w:tab/>
        </w:r>
        <w:r w:rsidR="00623CC5">
          <w:rPr>
            <w:noProof/>
            <w:webHidden/>
          </w:rPr>
          <w:fldChar w:fldCharType="begin"/>
        </w:r>
        <w:r w:rsidR="00623CC5">
          <w:rPr>
            <w:noProof/>
            <w:webHidden/>
          </w:rPr>
          <w:instrText xml:space="preserve"> PAGEREF _Toc154010819 \h </w:instrText>
        </w:r>
        <w:r w:rsidR="00623CC5">
          <w:rPr>
            <w:noProof/>
            <w:webHidden/>
          </w:rPr>
        </w:r>
        <w:r w:rsidR="00623CC5">
          <w:rPr>
            <w:noProof/>
            <w:webHidden/>
          </w:rPr>
          <w:fldChar w:fldCharType="separate"/>
        </w:r>
        <w:r w:rsidR="00661ADF">
          <w:rPr>
            <w:noProof/>
            <w:webHidden/>
          </w:rPr>
          <w:t>13</w:t>
        </w:r>
        <w:r w:rsidR="00623CC5">
          <w:rPr>
            <w:noProof/>
            <w:webHidden/>
          </w:rPr>
          <w:fldChar w:fldCharType="end"/>
        </w:r>
      </w:hyperlink>
    </w:p>
    <w:p w14:paraId="465EFBF1" w14:textId="016A495D" w:rsidR="00623CC5" w:rsidRPr="006C72FE" w:rsidRDefault="00000000">
      <w:pPr>
        <w:pStyle w:val="TOC2"/>
        <w:tabs>
          <w:tab w:val="left" w:pos="880"/>
          <w:tab w:val="right" w:leader="dot" w:pos="9492"/>
        </w:tabs>
        <w:rPr>
          <w:rFonts w:ascii="Calibri" w:eastAsia="Yu Mincho" w:hAnsi="Calibri"/>
          <w:noProof/>
          <w:kern w:val="2"/>
          <w:sz w:val="22"/>
          <w:szCs w:val="22"/>
          <w:lang w:val="en-US" w:eastAsia="ja-JP"/>
        </w:rPr>
      </w:pPr>
      <w:hyperlink w:anchor="_Toc154010820" w:history="1">
        <w:r w:rsidR="00623CC5" w:rsidRPr="00743454">
          <w:rPr>
            <w:rStyle w:val="Hyperlink"/>
            <w:noProof/>
          </w:rPr>
          <w:t>4.5</w:t>
        </w:r>
        <w:r w:rsidR="00623CC5" w:rsidRPr="006C72FE">
          <w:rPr>
            <w:rFonts w:ascii="Calibri" w:eastAsia="Yu Mincho" w:hAnsi="Calibri"/>
            <w:noProof/>
            <w:kern w:val="2"/>
            <w:sz w:val="22"/>
            <w:szCs w:val="22"/>
            <w:lang w:val="en-US" w:eastAsia="ja-JP"/>
          </w:rPr>
          <w:tab/>
        </w:r>
        <w:r w:rsidR="00623CC5" w:rsidRPr="00743454">
          <w:rPr>
            <w:rStyle w:val="Hyperlink"/>
            <w:noProof/>
          </w:rPr>
          <w:t>Waste management</w:t>
        </w:r>
        <w:r w:rsidR="00623CC5">
          <w:rPr>
            <w:noProof/>
            <w:webHidden/>
          </w:rPr>
          <w:tab/>
        </w:r>
        <w:r w:rsidR="00623CC5">
          <w:rPr>
            <w:noProof/>
            <w:webHidden/>
          </w:rPr>
          <w:fldChar w:fldCharType="begin"/>
        </w:r>
        <w:r w:rsidR="00623CC5">
          <w:rPr>
            <w:noProof/>
            <w:webHidden/>
          </w:rPr>
          <w:instrText xml:space="preserve"> PAGEREF _Toc154010820 \h </w:instrText>
        </w:r>
        <w:r w:rsidR="00623CC5">
          <w:rPr>
            <w:noProof/>
            <w:webHidden/>
          </w:rPr>
        </w:r>
        <w:r w:rsidR="00623CC5">
          <w:rPr>
            <w:noProof/>
            <w:webHidden/>
          </w:rPr>
          <w:fldChar w:fldCharType="separate"/>
        </w:r>
        <w:r w:rsidR="00661ADF">
          <w:rPr>
            <w:noProof/>
            <w:webHidden/>
          </w:rPr>
          <w:t>14</w:t>
        </w:r>
        <w:r w:rsidR="00623CC5">
          <w:rPr>
            <w:noProof/>
            <w:webHidden/>
          </w:rPr>
          <w:fldChar w:fldCharType="end"/>
        </w:r>
      </w:hyperlink>
    </w:p>
    <w:p w14:paraId="44F41BC0" w14:textId="2CFE1D0D"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21" w:history="1">
        <w:r w:rsidR="00623CC5" w:rsidRPr="00743454">
          <w:rPr>
            <w:rStyle w:val="Hyperlink"/>
            <w:noProof/>
          </w:rPr>
          <w:t>Annex 1: Further information on the substance</w:t>
        </w:r>
        <w:r w:rsidR="00623CC5">
          <w:rPr>
            <w:noProof/>
            <w:webHidden/>
          </w:rPr>
          <w:tab/>
        </w:r>
        <w:r w:rsidR="00623CC5">
          <w:rPr>
            <w:noProof/>
            <w:webHidden/>
          </w:rPr>
          <w:fldChar w:fldCharType="begin"/>
        </w:r>
        <w:r w:rsidR="00623CC5">
          <w:rPr>
            <w:noProof/>
            <w:webHidden/>
          </w:rPr>
          <w:instrText xml:space="preserve"> PAGEREF _Toc154010821 \h </w:instrText>
        </w:r>
        <w:r w:rsidR="00623CC5">
          <w:rPr>
            <w:noProof/>
            <w:webHidden/>
          </w:rPr>
        </w:r>
        <w:r w:rsidR="00623CC5">
          <w:rPr>
            <w:noProof/>
            <w:webHidden/>
          </w:rPr>
          <w:fldChar w:fldCharType="separate"/>
        </w:r>
        <w:r w:rsidR="00661ADF">
          <w:rPr>
            <w:noProof/>
            <w:webHidden/>
          </w:rPr>
          <w:t>15</w:t>
        </w:r>
        <w:r w:rsidR="00623CC5">
          <w:rPr>
            <w:noProof/>
            <w:webHidden/>
          </w:rPr>
          <w:fldChar w:fldCharType="end"/>
        </w:r>
      </w:hyperlink>
    </w:p>
    <w:p w14:paraId="63D96E5D" w14:textId="7859D17E"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22" w:history="1">
        <w:r w:rsidR="00623CC5" w:rsidRPr="00743454">
          <w:rPr>
            <w:rStyle w:val="Hyperlink"/>
            <w:noProof/>
          </w:rPr>
          <w:t>1.</w:t>
        </w:r>
        <w:r w:rsidR="00623CC5" w:rsidRPr="006C72FE">
          <w:rPr>
            <w:rFonts w:ascii="Calibri" w:eastAsia="Yu Mincho" w:hAnsi="Calibri"/>
            <w:noProof/>
            <w:kern w:val="2"/>
            <w:sz w:val="22"/>
            <w:szCs w:val="22"/>
            <w:lang w:val="en-US" w:eastAsia="ja-JP"/>
          </w:rPr>
          <w:tab/>
        </w:r>
        <w:r w:rsidR="00623CC5" w:rsidRPr="00743454">
          <w:rPr>
            <w:rStyle w:val="Hyperlink"/>
            <w:noProof/>
          </w:rPr>
          <w:t>Physico-chemical properties</w:t>
        </w:r>
        <w:r w:rsidR="00623CC5">
          <w:rPr>
            <w:noProof/>
            <w:webHidden/>
          </w:rPr>
          <w:tab/>
        </w:r>
        <w:r w:rsidR="00623CC5">
          <w:rPr>
            <w:noProof/>
            <w:webHidden/>
          </w:rPr>
          <w:fldChar w:fldCharType="begin"/>
        </w:r>
        <w:r w:rsidR="00623CC5">
          <w:rPr>
            <w:noProof/>
            <w:webHidden/>
          </w:rPr>
          <w:instrText xml:space="preserve"> PAGEREF _Toc154010822 \h </w:instrText>
        </w:r>
        <w:r w:rsidR="00623CC5">
          <w:rPr>
            <w:noProof/>
            <w:webHidden/>
          </w:rPr>
        </w:r>
        <w:r w:rsidR="00623CC5">
          <w:rPr>
            <w:noProof/>
            <w:webHidden/>
          </w:rPr>
          <w:fldChar w:fldCharType="separate"/>
        </w:r>
        <w:r w:rsidR="00661ADF">
          <w:rPr>
            <w:noProof/>
            <w:webHidden/>
          </w:rPr>
          <w:t>15</w:t>
        </w:r>
        <w:r w:rsidR="00623CC5">
          <w:rPr>
            <w:noProof/>
            <w:webHidden/>
          </w:rPr>
          <w:fldChar w:fldCharType="end"/>
        </w:r>
      </w:hyperlink>
    </w:p>
    <w:p w14:paraId="276BC8EB" w14:textId="701C51BF"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23" w:history="1">
        <w:r w:rsidR="00623CC5" w:rsidRPr="00743454">
          <w:rPr>
            <w:rStyle w:val="Hyperlink"/>
            <w:noProof/>
          </w:rPr>
          <w:t>2.</w:t>
        </w:r>
        <w:r w:rsidR="00623CC5" w:rsidRPr="006C72FE">
          <w:rPr>
            <w:rFonts w:ascii="Calibri" w:eastAsia="Yu Mincho" w:hAnsi="Calibri"/>
            <w:noProof/>
            <w:kern w:val="2"/>
            <w:sz w:val="22"/>
            <w:szCs w:val="22"/>
            <w:lang w:val="en-US" w:eastAsia="ja-JP"/>
          </w:rPr>
          <w:tab/>
        </w:r>
        <w:r w:rsidR="00623CC5" w:rsidRPr="00743454">
          <w:rPr>
            <w:rStyle w:val="Hyperlink"/>
            <w:noProof/>
          </w:rPr>
          <w:t>Toxicological properties</w:t>
        </w:r>
        <w:r w:rsidR="00623CC5">
          <w:rPr>
            <w:noProof/>
            <w:webHidden/>
          </w:rPr>
          <w:tab/>
        </w:r>
        <w:r w:rsidR="00623CC5">
          <w:rPr>
            <w:noProof/>
            <w:webHidden/>
          </w:rPr>
          <w:fldChar w:fldCharType="begin"/>
        </w:r>
        <w:r w:rsidR="00623CC5">
          <w:rPr>
            <w:noProof/>
            <w:webHidden/>
          </w:rPr>
          <w:instrText xml:space="preserve"> PAGEREF _Toc154010823 \h </w:instrText>
        </w:r>
        <w:r w:rsidR="00623CC5">
          <w:rPr>
            <w:noProof/>
            <w:webHidden/>
          </w:rPr>
        </w:r>
        <w:r w:rsidR="00623CC5">
          <w:rPr>
            <w:noProof/>
            <w:webHidden/>
          </w:rPr>
          <w:fldChar w:fldCharType="separate"/>
        </w:r>
        <w:r w:rsidR="00661ADF">
          <w:rPr>
            <w:noProof/>
            <w:webHidden/>
          </w:rPr>
          <w:t>15</w:t>
        </w:r>
        <w:r w:rsidR="00623CC5">
          <w:rPr>
            <w:noProof/>
            <w:webHidden/>
          </w:rPr>
          <w:fldChar w:fldCharType="end"/>
        </w:r>
      </w:hyperlink>
    </w:p>
    <w:p w14:paraId="6D079EC2" w14:textId="499E3D5B"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24" w:history="1">
        <w:r w:rsidR="00623CC5" w:rsidRPr="00743454">
          <w:rPr>
            <w:rStyle w:val="Hyperlink"/>
            <w:noProof/>
          </w:rPr>
          <w:t>3.</w:t>
        </w:r>
        <w:r w:rsidR="00623CC5" w:rsidRPr="006C72FE">
          <w:rPr>
            <w:rFonts w:ascii="Calibri" w:eastAsia="Yu Mincho" w:hAnsi="Calibri"/>
            <w:noProof/>
            <w:kern w:val="2"/>
            <w:sz w:val="22"/>
            <w:szCs w:val="22"/>
            <w:lang w:val="en-US" w:eastAsia="ja-JP"/>
          </w:rPr>
          <w:tab/>
        </w:r>
        <w:r w:rsidR="00623CC5" w:rsidRPr="00743454">
          <w:rPr>
            <w:rStyle w:val="Hyperlink"/>
            <w:noProof/>
          </w:rPr>
          <w:t>Human exposure/risk evaluation</w:t>
        </w:r>
        <w:r w:rsidR="00623CC5">
          <w:rPr>
            <w:noProof/>
            <w:webHidden/>
          </w:rPr>
          <w:tab/>
        </w:r>
        <w:r w:rsidR="00623CC5">
          <w:rPr>
            <w:noProof/>
            <w:webHidden/>
          </w:rPr>
          <w:fldChar w:fldCharType="begin"/>
        </w:r>
        <w:r w:rsidR="00623CC5">
          <w:rPr>
            <w:noProof/>
            <w:webHidden/>
          </w:rPr>
          <w:instrText xml:space="preserve"> PAGEREF _Toc154010824 \h </w:instrText>
        </w:r>
        <w:r w:rsidR="00623CC5">
          <w:rPr>
            <w:noProof/>
            <w:webHidden/>
          </w:rPr>
        </w:r>
        <w:r w:rsidR="00623CC5">
          <w:rPr>
            <w:noProof/>
            <w:webHidden/>
          </w:rPr>
          <w:fldChar w:fldCharType="separate"/>
        </w:r>
        <w:r w:rsidR="00661ADF">
          <w:rPr>
            <w:noProof/>
            <w:webHidden/>
          </w:rPr>
          <w:t>20</w:t>
        </w:r>
        <w:r w:rsidR="00623CC5">
          <w:rPr>
            <w:noProof/>
            <w:webHidden/>
          </w:rPr>
          <w:fldChar w:fldCharType="end"/>
        </w:r>
      </w:hyperlink>
    </w:p>
    <w:p w14:paraId="58626BF1" w14:textId="076A0F24"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25" w:history="1">
        <w:r w:rsidR="00623CC5" w:rsidRPr="00743454">
          <w:rPr>
            <w:rStyle w:val="Hyperlink"/>
            <w:noProof/>
          </w:rPr>
          <w:t>4.</w:t>
        </w:r>
        <w:r w:rsidR="00623CC5" w:rsidRPr="006C72FE">
          <w:rPr>
            <w:rFonts w:ascii="Calibri" w:eastAsia="Yu Mincho" w:hAnsi="Calibri"/>
            <w:noProof/>
            <w:kern w:val="2"/>
            <w:sz w:val="22"/>
            <w:szCs w:val="22"/>
            <w:lang w:val="en-US" w:eastAsia="ja-JP"/>
          </w:rPr>
          <w:tab/>
        </w:r>
        <w:r w:rsidR="00623CC5" w:rsidRPr="00743454">
          <w:rPr>
            <w:rStyle w:val="Hyperlink"/>
            <w:noProof/>
          </w:rPr>
          <w:t>Environmental fate and effects</w:t>
        </w:r>
        <w:r w:rsidR="00623CC5">
          <w:rPr>
            <w:noProof/>
            <w:webHidden/>
          </w:rPr>
          <w:tab/>
        </w:r>
        <w:r w:rsidR="00623CC5">
          <w:rPr>
            <w:noProof/>
            <w:webHidden/>
          </w:rPr>
          <w:fldChar w:fldCharType="begin"/>
        </w:r>
        <w:r w:rsidR="00623CC5">
          <w:rPr>
            <w:noProof/>
            <w:webHidden/>
          </w:rPr>
          <w:instrText xml:space="preserve"> PAGEREF _Toc154010825 \h </w:instrText>
        </w:r>
        <w:r w:rsidR="00623CC5">
          <w:rPr>
            <w:noProof/>
            <w:webHidden/>
          </w:rPr>
        </w:r>
        <w:r w:rsidR="00623CC5">
          <w:rPr>
            <w:noProof/>
            <w:webHidden/>
          </w:rPr>
          <w:fldChar w:fldCharType="separate"/>
        </w:r>
        <w:r w:rsidR="00661ADF">
          <w:rPr>
            <w:noProof/>
            <w:webHidden/>
          </w:rPr>
          <w:t>22</w:t>
        </w:r>
        <w:r w:rsidR="00623CC5">
          <w:rPr>
            <w:noProof/>
            <w:webHidden/>
          </w:rPr>
          <w:fldChar w:fldCharType="end"/>
        </w:r>
      </w:hyperlink>
    </w:p>
    <w:p w14:paraId="52D3D2F1" w14:textId="05CD4D32"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26" w:history="1">
        <w:r w:rsidR="00623CC5" w:rsidRPr="00743454">
          <w:rPr>
            <w:rStyle w:val="Hyperlink"/>
            <w:noProof/>
          </w:rPr>
          <w:t>5.</w:t>
        </w:r>
        <w:r w:rsidR="00623CC5" w:rsidRPr="006C72FE">
          <w:rPr>
            <w:rFonts w:ascii="Calibri" w:eastAsia="Yu Mincho" w:hAnsi="Calibri"/>
            <w:noProof/>
            <w:kern w:val="2"/>
            <w:sz w:val="22"/>
            <w:szCs w:val="22"/>
            <w:lang w:val="en-US" w:eastAsia="ja-JP"/>
          </w:rPr>
          <w:tab/>
        </w:r>
        <w:r w:rsidR="00623CC5" w:rsidRPr="00743454">
          <w:rPr>
            <w:rStyle w:val="Hyperlink"/>
            <w:noProof/>
          </w:rPr>
          <w:t>Environmental exposure/risk evaluation</w:t>
        </w:r>
        <w:r w:rsidR="00623CC5">
          <w:rPr>
            <w:noProof/>
            <w:webHidden/>
          </w:rPr>
          <w:tab/>
        </w:r>
        <w:r w:rsidR="00623CC5">
          <w:rPr>
            <w:noProof/>
            <w:webHidden/>
          </w:rPr>
          <w:fldChar w:fldCharType="begin"/>
        </w:r>
        <w:r w:rsidR="00623CC5">
          <w:rPr>
            <w:noProof/>
            <w:webHidden/>
          </w:rPr>
          <w:instrText xml:space="preserve"> PAGEREF _Toc154010826 \h </w:instrText>
        </w:r>
        <w:r w:rsidR="00623CC5">
          <w:rPr>
            <w:noProof/>
            <w:webHidden/>
          </w:rPr>
        </w:r>
        <w:r w:rsidR="00623CC5">
          <w:rPr>
            <w:noProof/>
            <w:webHidden/>
          </w:rPr>
          <w:fldChar w:fldCharType="separate"/>
        </w:r>
        <w:r w:rsidR="00661ADF">
          <w:rPr>
            <w:noProof/>
            <w:webHidden/>
          </w:rPr>
          <w:t>23</w:t>
        </w:r>
        <w:r w:rsidR="00623CC5">
          <w:rPr>
            <w:noProof/>
            <w:webHidden/>
          </w:rPr>
          <w:fldChar w:fldCharType="end"/>
        </w:r>
      </w:hyperlink>
    </w:p>
    <w:p w14:paraId="235051F3" w14:textId="08FCAE5C"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27" w:history="1">
        <w:r w:rsidR="00623CC5" w:rsidRPr="00743454">
          <w:rPr>
            <w:rStyle w:val="Hyperlink"/>
            <w:noProof/>
          </w:rPr>
          <w:t>Annex 2: Details on final regulatory actions reported</w:t>
        </w:r>
        <w:r w:rsidR="00623CC5">
          <w:rPr>
            <w:noProof/>
            <w:webHidden/>
          </w:rPr>
          <w:tab/>
        </w:r>
        <w:r w:rsidR="00623CC5">
          <w:rPr>
            <w:noProof/>
            <w:webHidden/>
          </w:rPr>
          <w:fldChar w:fldCharType="begin"/>
        </w:r>
        <w:r w:rsidR="00623CC5">
          <w:rPr>
            <w:noProof/>
            <w:webHidden/>
          </w:rPr>
          <w:instrText xml:space="preserve"> PAGEREF _Toc154010827 \h </w:instrText>
        </w:r>
        <w:r w:rsidR="00623CC5">
          <w:rPr>
            <w:noProof/>
            <w:webHidden/>
          </w:rPr>
        </w:r>
        <w:r w:rsidR="00623CC5">
          <w:rPr>
            <w:noProof/>
            <w:webHidden/>
          </w:rPr>
          <w:fldChar w:fldCharType="separate"/>
        </w:r>
        <w:r w:rsidR="00661ADF">
          <w:rPr>
            <w:noProof/>
            <w:webHidden/>
          </w:rPr>
          <w:t>25</w:t>
        </w:r>
        <w:r w:rsidR="00623CC5">
          <w:rPr>
            <w:noProof/>
            <w:webHidden/>
          </w:rPr>
          <w:fldChar w:fldCharType="end"/>
        </w:r>
      </w:hyperlink>
    </w:p>
    <w:p w14:paraId="5B64AE6B" w14:textId="7D87D110"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28" w:history="1">
        <w:r w:rsidR="00623CC5" w:rsidRPr="00743454">
          <w:rPr>
            <w:rStyle w:val="Hyperlink"/>
            <w:noProof/>
          </w:rPr>
          <w:t>Annex 3: Addresses of designated national authorities</w:t>
        </w:r>
        <w:r w:rsidR="00623CC5">
          <w:rPr>
            <w:noProof/>
            <w:webHidden/>
          </w:rPr>
          <w:tab/>
        </w:r>
        <w:r w:rsidR="00623CC5">
          <w:rPr>
            <w:noProof/>
            <w:webHidden/>
          </w:rPr>
          <w:fldChar w:fldCharType="begin"/>
        </w:r>
        <w:r w:rsidR="00623CC5">
          <w:rPr>
            <w:noProof/>
            <w:webHidden/>
          </w:rPr>
          <w:instrText xml:space="preserve"> PAGEREF _Toc154010828 \h </w:instrText>
        </w:r>
        <w:r w:rsidR="00623CC5">
          <w:rPr>
            <w:noProof/>
            <w:webHidden/>
          </w:rPr>
        </w:r>
        <w:r w:rsidR="00623CC5">
          <w:rPr>
            <w:noProof/>
            <w:webHidden/>
          </w:rPr>
          <w:fldChar w:fldCharType="separate"/>
        </w:r>
        <w:r w:rsidR="00661ADF">
          <w:rPr>
            <w:noProof/>
            <w:webHidden/>
          </w:rPr>
          <w:t>31</w:t>
        </w:r>
        <w:r w:rsidR="00623CC5">
          <w:rPr>
            <w:noProof/>
            <w:webHidden/>
          </w:rPr>
          <w:fldChar w:fldCharType="end"/>
        </w:r>
      </w:hyperlink>
    </w:p>
    <w:p w14:paraId="4084223A" w14:textId="58A32D91" w:rsidR="00623CC5" w:rsidRPr="006C72FE" w:rsidRDefault="00000000">
      <w:pPr>
        <w:pStyle w:val="TOC1"/>
        <w:tabs>
          <w:tab w:val="right" w:leader="dot" w:pos="9492"/>
        </w:tabs>
        <w:rPr>
          <w:rFonts w:ascii="Calibri" w:eastAsia="Yu Mincho" w:hAnsi="Calibri"/>
          <w:noProof/>
          <w:kern w:val="2"/>
          <w:sz w:val="22"/>
          <w:szCs w:val="22"/>
          <w:lang w:val="en-US" w:eastAsia="ja-JP"/>
        </w:rPr>
      </w:pPr>
      <w:hyperlink w:anchor="_Toc154010829" w:history="1">
        <w:r w:rsidR="00623CC5" w:rsidRPr="00743454">
          <w:rPr>
            <w:rStyle w:val="Hyperlink"/>
            <w:noProof/>
          </w:rPr>
          <w:t>Annex 4: References</w:t>
        </w:r>
        <w:r w:rsidR="00623CC5">
          <w:rPr>
            <w:noProof/>
            <w:webHidden/>
          </w:rPr>
          <w:tab/>
        </w:r>
        <w:r w:rsidR="00623CC5">
          <w:rPr>
            <w:noProof/>
            <w:webHidden/>
          </w:rPr>
          <w:fldChar w:fldCharType="begin"/>
        </w:r>
        <w:r w:rsidR="00623CC5">
          <w:rPr>
            <w:noProof/>
            <w:webHidden/>
          </w:rPr>
          <w:instrText xml:space="preserve"> PAGEREF _Toc154010829 \h </w:instrText>
        </w:r>
        <w:r w:rsidR="00623CC5">
          <w:rPr>
            <w:noProof/>
            <w:webHidden/>
          </w:rPr>
        </w:r>
        <w:r w:rsidR="00623CC5">
          <w:rPr>
            <w:noProof/>
            <w:webHidden/>
          </w:rPr>
          <w:fldChar w:fldCharType="separate"/>
        </w:r>
        <w:r w:rsidR="00661ADF">
          <w:rPr>
            <w:noProof/>
            <w:webHidden/>
          </w:rPr>
          <w:t>32</w:t>
        </w:r>
        <w:r w:rsidR="00623CC5">
          <w:rPr>
            <w:noProof/>
            <w:webHidden/>
          </w:rPr>
          <w:fldChar w:fldCharType="end"/>
        </w:r>
      </w:hyperlink>
    </w:p>
    <w:p w14:paraId="2821DF5E" w14:textId="741FEC8A"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30" w:history="1">
        <w:r w:rsidR="00623CC5" w:rsidRPr="00743454">
          <w:rPr>
            <w:rStyle w:val="Hyperlink"/>
            <w:noProof/>
          </w:rPr>
          <w:t>1.</w:t>
        </w:r>
        <w:r w:rsidR="00623CC5" w:rsidRPr="006C72FE">
          <w:rPr>
            <w:rFonts w:ascii="Calibri" w:eastAsia="Yu Mincho" w:hAnsi="Calibri"/>
            <w:noProof/>
            <w:kern w:val="2"/>
            <w:sz w:val="22"/>
            <w:szCs w:val="22"/>
            <w:lang w:val="en-US" w:eastAsia="ja-JP"/>
          </w:rPr>
          <w:tab/>
        </w:r>
        <w:r w:rsidR="00623CC5" w:rsidRPr="00743454">
          <w:rPr>
            <w:rStyle w:val="Hyperlink"/>
            <w:noProof/>
          </w:rPr>
          <w:t>Regulatory actions</w:t>
        </w:r>
        <w:r w:rsidR="00623CC5">
          <w:rPr>
            <w:noProof/>
            <w:webHidden/>
          </w:rPr>
          <w:tab/>
        </w:r>
        <w:r w:rsidR="00623CC5">
          <w:rPr>
            <w:noProof/>
            <w:webHidden/>
          </w:rPr>
          <w:fldChar w:fldCharType="begin"/>
        </w:r>
        <w:r w:rsidR="00623CC5">
          <w:rPr>
            <w:noProof/>
            <w:webHidden/>
          </w:rPr>
          <w:instrText xml:space="preserve"> PAGEREF _Toc154010830 \h </w:instrText>
        </w:r>
        <w:r w:rsidR="00623CC5">
          <w:rPr>
            <w:noProof/>
            <w:webHidden/>
          </w:rPr>
        </w:r>
        <w:r w:rsidR="00623CC5">
          <w:rPr>
            <w:noProof/>
            <w:webHidden/>
          </w:rPr>
          <w:fldChar w:fldCharType="separate"/>
        </w:r>
        <w:r w:rsidR="00661ADF">
          <w:rPr>
            <w:noProof/>
            <w:webHidden/>
          </w:rPr>
          <w:t>32</w:t>
        </w:r>
        <w:r w:rsidR="00623CC5">
          <w:rPr>
            <w:noProof/>
            <w:webHidden/>
          </w:rPr>
          <w:fldChar w:fldCharType="end"/>
        </w:r>
      </w:hyperlink>
    </w:p>
    <w:p w14:paraId="3682D9E3" w14:textId="43F37104"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31" w:history="1">
        <w:r w:rsidR="00623CC5" w:rsidRPr="00743454">
          <w:rPr>
            <w:rStyle w:val="Hyperlink"/>
            <w:noProof/>
          </w:rPr>
          <w:t>2.</w:t>
        </w:r>
        <w:r w:rsidR="00623CC5" w:rsidRPr="006C72FE">
          <w:rPr>
            <w:rFonts w:ascii="Calibri" w:eastAsia="Yu Mincho" w:hAnsi="Calibri"/>
            <w:noProof/>
            <w:kern w:val="2"/>
            <w:sz w:val="22"/>
            <w:szCs w:val="22"/>
            <w:lang w:val="en-US" w:eastAsia="ja-JP"/>
          </w:rPr>
          <w:tab/>
        </w:r>
        <w:r w:rsidR="00623CC5" w:rsidRPr="00743454">
          <w:rPr>
            <w:rStyle w:val="Hyperlink"/>
            <w:noProof/>
          </w:rPr>
          <w:t>Supporting Documentation</w:t>
        </w:r>
        <w:r w:rsidR="00623CC5">
          <w:rPr>
            <w:noProof/>
            <w:webHidden/>
          </w:rPr>
          <w:tab/>
        </w:r>
        <w:r w:rsidR="00623CC5">
          <w:rPr>
            <w:noProof/>
            <w:webHidden/>
          </w:rPr>
          <w:fldChar w:fldCharType="begin"/>
        </w:r>
        <w:r w:rsidR="00623CC5">
          <w:rPr>
            <w:noProof/>
            <w:webHidden/>
          </w:rPr>
          <w:instrText xml:space="preserve"> PAGEREF _Toc154010831 \h </w:instrText>
        </w:r>
        <w:r w:rsidR="00623CC5">
          <w:rPr>
            <w:noProof/>
            <w:webHidden/>
          </w:rPr>
        </w:r>
        <w:r w:rsidR="00623CC5">
          <w:rPr>
            <w:noProof/>
            <w:webHidden/>
          </w:rPr>
          <w:fldChar w:fldCharType="separate"/>
        </w:r>
        <w:r w:rsidR="00661ADF">
          <w:rPr>
            <w:noProof/>
            <w:webHidden/>
          </w:rPr>
          <w:t>32</w:t>
        </w:r>
        <w:r w:rsidR="00623CC5">
          <w:rPr>
            <w:noProof/>
            <w:webHidden/>
          </w:rPr>
          <w:fldChar w:fldCharType="end"/>
        </w:r>
      </w:hyperlink>
    </w:p>
    <w:p w14:paraId="54EDB0E8" w14:textId="4A6CB27C" w:rsidR="00623CC5" w:rsidRPr="006C72FE" w:rsidRDefault="00000000">
      <w:pPr>
        <w:pStyle w:val="TOC2"/>
        <w:tabs>
          <w:tab w:val="left" w:pos="660"/>
          <w:tab w:val="right" w:leader="dot" w:pos="9492"/>
        </w:tabs>
        <w:rPr>
          <w:rFonts w:ascii="Calibri" w:eastAsia="Yu Mincho" w:hAnsi="Calibri"/>
          <w:noProof/>
          <w:kern w:val="2"/>
          <w:sz w:val="22"/>
          <w:szCs w:val="22"/>
          <w:lang w:val="en-US" w:eastAsia="ja-JP"/>
        </w:rPr>
      </w:pPr>
      <w:hyperlink w:anchor="_Toc154010832" w:history="1">
        <w:r w:rsidR="00623CC5" w:rsidRPr="00743454">
          <w:rPr>
            <w:rStyle w:val="Hyperlink"/>
            <w:noProof/>
          </w:rPr>
          <w:t>3.</w:t>
        </w:r>
        <w:r w:rsidR="00623CC5" w:rsidRPr="006C72FE">
          <w:rPr>
            <w:rFonts w:ascii="Calibri" w:eastAsia="Yu Mincho" w:hAnsi="Calibri"/>
            <w:noProof/>
            <w:kern w:val="2"/>
            <w:sz w:val="22"/>
            <w:szCs w:val="22"/>
            <w:lang w:val="en-US" w:eastAsia="ja-JP"/>
          </w:rPr>
          <w:tab/>
        </w:r>
        <w:r w:rsidR="00623CC5" w:rsidRPr="00743454">
          <w:rPr>
            <w:rStyle w:val="Hyperlink"/>
            <w:noProof/>
          </w:rPr>
          <w:t>Other Documents</w:t>
        </w:r>
        <w:r w:rsidR="00623CC5">
          <w:rPr>
            <w:noProof/>
            <w:webHidden/>
          </w:rPr>
          <w:tab/>
        </w:r>
        <w:r w:rsidR="00623CC5">
          <w:rPr>
            <w:noProof/>
            <w:webHidden/>
          </w:rPr>
          <w:fldChar w:fldCharType="begin"/>
        </w:r>
        <w:r w:rsidR="00623CC5">
          <w:rPr>
            <w:noProof/>
            <w:webHidden/>
          </w:rPr>
          <w:instrText xml:space="preserve"> PAGEREF _Toc154010832 \h </w:instrText>
        </w:r>
        <w:r w:rsidR="00623CC5">
          <w:rPr>
            <w:noProof/>
            <w:webHidden/>
          </w:rPr>
        </w:r>
        <w:r w:rsidR="00623CC5">
          <w:rPr>
            <w:noProof/>
            <w:webHidden/>
          </w:rPr>
          <w:fldChar w:fldCharType="separate"/>
        </w:r>
        <w:r w:rsidR="00661ADF">
          <w:rPr>
            <w:noProof/>
            <w:webHidden/>
          </w:rPr>
          <w:t>32</w:t>
        </w:r>
        <w:r w:rsidR="00623CC5">
          <w:rPr>
            <w:noProof/>
            <w:webHidden/>
          </w:rPr>
          <w:fldChar w:fldCharType="end"/>
        </w:r>
      </w:hyperlink>
    </w:p>
    <w:p w14:paraId="3DA88D26" w14:textId="77777777" w:rsidR="00F35D07" w:rsidRDefault="008B550E">
      <w:r>
        <w:fldChar w:fldCharType="end"/>
      </w:r>
    </w:p>
    <w:p w14:paraId="063BAE9E" w14:textId="77777777" w:rsidR="00AA6543" w:rsidRPr="008E703D" w:rsidRDefault="00F35D07" w:rsidP="008E703D">
      <w:pPr>
        <w:pStyle w:val="Heading1"/>
      </w:pPr>
      <w:r>
        <w:br w:type="page"/>
      </w:r>
      <w:bookmarkStart w:id="1" w:name="_Toc154010804"/>
      <w:r w:rsidR="00AA6543" w:rsidRPr="008E703D">
        <w:lastRenderedPageBreak/>
        <w:t>Introduction</w:t>
      </w:r>
      <w:bookmarkEnd w:id="1"/>
    </w:p>
    <w:p w14:paraId="3AA6A5A3" w14:textId="77777777" w:rsidR="00AA6543" w:rsidRPr="008E703D" w:rsidRDefault="00AA6543" w:rsidP="00AA6543">
      <w:pPr>
        <w:rPr>
          <w:rFonts w:eastAsia="Times New Roman"/>
          <w:szCs w:val="20"/>
          <w:lang w:eastAsia="en-US"/>
        </w:rPr>
      </w:pPr>
      <w:r w:rsidRPr="008E703D">
        <w:rPr>
          <w:rFonts w:eastAsia="Times New Roman"/>
          <w:szCs w:val="20"/>
          <w:lang w:eastAsia="en-US"/>
        </w:rPr>
        <w:t xml:space="preserve">The objective of the Rotterdam Convention is to promote shared responsibility and cooperative efforts among Parties in the international trade of certain hazardous chemicals </w:t>
      </w:r>
      <w:proofErr w:type="gramStart"/>
      <w:r w:rsidRPr="008E703D">
        <w:rPr>
          <w:rFonts w:eastAsia="Times New Roman"/>
          <w:szCs w:val="20"/>
          <w:lang w:eastAsia="en-US"/>
        </w:rPr>
        <w:t>in order to</w:t>
      </w:r>
      <w:proofErr w:type="gramEnd"/>
      <w:r w:rsidRPr="008E703D">
        <w:rPr>
          <w:rFonts w:eastAsia="Times New Roman"/>
          <w:szCs w:val="20"/>
          <w:lang w:eastAsia="en-US"/>
        </w:rPr>
        <w:t xml:space="preserve"> protect human health and the environment from potential harm and to contribute to their environmentally sound use, by facilitating information exchange about their characteristics, by providing for a national decision-making process on their import and export and by disseminating these decisions to Parties. The Secretariat of the Convention is provided jointly by the United Nations Environment Programme (UNEP) and the Food and Agriculture Organization of the United Nations (FAO).</w:t>
      </w:r>
    </w:p>
    <w:p w14:paraId="262D2792" w14:textId="77777777" w:rsidR="00AA6543" w:rsidRPr="008E703D" w:rsidRDefault="00AA6543" w:rsidP="00AA6543">
      <w:pPr>
        <w:rPr>
          <w:rFonts w:eastAsia="Times New Roman"/>
          <w:szCs w:val="20"/>
          <w:lang w:eastAsia="en-US"/>
        </w:rPr>
      </w:pPr>
      <w:r w:rsidRPr="008E703D">
        <w:rPr>
          <w:rFonts w:eastAsia="Times New Roman"/>
          <w:szCs w:val="20"/>
          <w:lang w:eastAsia="en-US"/>
        </w:rPr>
        <w:t>Candidate chemicals</w:t>
      </w:r>
      <w:r w:rsidRPr="008E703D">
        <w:rPr>
          <w:rFonts w:eastAsia="Times New Roman"/>
          <w:szCs w:val="20"/>
          <w:vertAlign w:val="superscript"/>
          <w:lang w:eastAsia="en-US"/>
        </w:rPr>
        <w:footnoteReference w:id="1"/>
      </w:r>
      <w:r w:rsidRPr="008E703D">
        <w:rPr>
          <w:rFonts w:eastAsia="Times New Roman"/>
          <w:szCs w:val="20"/>
          <w:lang w:eastAsia="en-US"/>
        </w:rPr>
        <w:t xml:space="preserve"> for inclusion in the prior informed consent (</w:t>
      </w:r>
      <w:smartTag w:uri="urn:schemas-microsoft-com:office:smarttags" w:element="stockticker">
        <w:r w:rsidRPr="008E703D">
          <w:rPr>
            <w:rFonts w:eastAsia="Times New Roman"/>
            <w:szCs w:val="20"/>
            <w:lang w:eastAsia="en-US"/>
          </w:rPr>
          <w:t>PIC</w:t>
        </w:r>
      </w:smartTag>
      <w:r w:rsidRPr="008E703D">
        <w:rPr>
          <w:rFonts w:eastAsia="Times New Roman"/>
          <w:szCs w:val="20"/>
          <w:lang w:eastAsia="en-US"/>
        </w:rPr>
        <w:t>) procedure under the Rotterdam Convention include those that have been banned or severely restricted by national regulatory actions in two or more Parties</w:t>
      </w:r>
      <w:r w:rsidRPr="008E703D">
        <w:rPr>
          <w:rFonts w:eastAsia="Times New Roman"/>
          <w:szCs w:val="20"/>
          <w:vertAlign w:val="superscript"/>
          <w:lang w:eastAsia="en-US"/>
        </w:rPr>
        <w:footnoteReference w:id="2"/>
      </w:r>
      <w:r w:rsidRPr="008E703D">
        <w:rPr>
          <w:rFonts w:eastAsia="Times New Roman"/>
          <w:szCs w:val="20"/>
          <w:lang w:eastAsia="en-US"/>
        </w:rPr>
        <w:t xml:space="preserve"> in two different regions. Inclusion of a chemical in the </w:t>
      </w:r>
      <w:smartTag w:uri="urn:schemas-microsoft-com:office:smarttags" w:element="stockticker">
        <w:r w:rsidRPr="008E703D">
          <w:rPr>
            <w:rFonts w:eastAsia="Times New Roman"/>
            <w:szCs w:val="20"/>
            <w:lang w:eastAsia="en-US"/>
          </w:rPr>
          <w:t>PIC</w:t>
        </w:r>
      </w:smartTag>
      <w:r w:rsidRPr="008E703D">
        <w:rPr>
          <w:rFonts w:eastAsia="Times New Roman"/>
          <w:szCs w:val="20"/>
          <w:lang w:eastAsia="en-US"/>
        </w:rPr>
        <w:t xml:space="preserve"> procedure is based on regulatory actions taken by Parties that have addressed the risks associated with the chemical by banning or severely restricting it. Other ways might be available to control or reduce such risks. Inclusion does not, however, imply that all Parties to the Convention have banned or severely restricted the chemical. For each chemical included in Annex </w:t>
      </w:r>
      <w:smartTag w:uri="urn:schemas-microsoft-com:office:smarttags" w:element="stockticker">
        <w:r w:rsidRPr="008E703D">
          <w:rPr>
            <w:rFonts w:eastAsia="Times New Roman"/>
            <w:szCs w:val="20"/>
            <w:lang w:eastAsia="en-US"/>
          </w:rPr>
          <w:t>III</w:t>
        </w:r>
      </w:smartTag>
      <w:r w:rsidRPr="008E703D">
        <w:rPr>
          <w:rFonts w:eastAsia="Times New Roman"/>
          <w:szCs w:val="20"/>
          <w:lang w:eastAsia="en-US"/>
        </w:rPr>
        <w:t xml:space="preserve"> of the Rotterdam Convention and subject to the </w:t>
      </w:r>
      <w:smartTag w:uri="urn:schemas-microsoft-com:office:smarttags" w:element="stockticker">
        <w:r w:rsidRPr="008E703D">
          <w:rPr>
            <w:rFonts w:eastAsia="Times New Roman"/>
            <w:szCs w:val="20"/>
            <w:lang w:eastAsia="en-US"/>
          </w:rPr>
          <w:t>PIC</w:t>
        </w:r>
      </w:smartTag>
      <w:r w:rsidRPr="008E703D">
        <w:rPr>
          <w:rFonts w:eastAsia="Times New Roman"/>
          <w:szCs w:val="20"/>
          <w:lang w:eastAsia="en-US"/>
        </w:rPr>
        <w:t xml:space="preserve"> procedure, Parties are requested to make an informed decision whether they consent or not to the future import of the chemical.</w:t>
      </w:r>
    </w:p>
    <w:p w14:paraId="2D53DF36" w14:textId="77777777" w:rsidR="00AA6543" w:rsidRPr="008E703D" w:rsidRDefault="00AA6543" w:rsidP="00AA6543">
      <w:pPr>
        <w:rPr>
          <w:rFonts w:eastAsia="Times New Roman"/>
          <w:szCs w:val="20"/>
          <w:lang w:eastAsia="en-US"/>
        </w:rPr>
      </w:pPr>
      <w:r w:rsidRPr="008E703D">
        <w:rPr>
          <w:rFonts w:eastAsia="Times New Roman"/>
          <w:szCs w:val="20"/>
          <w:lang w:eastAsia="en-US"/>
        </w:rPr>
        <w:t xml:space="preserve">At its […] meeting, held in […] on […], the Conference of the Parties agreed to list [chemical name] in Annex </w:t>
      </w:r>
      <w:smartTag w:uri="urn:schemas-microsoft-com:office:smarttags" w:element="stockticker">
        <w:r w:rsidRPr="008E703D">
          <w:rPr>
            <w:rFonts w:eastAsia="Times New Roman"/>
            <w:szCs w:val="20"/>
            <w:lang w:eastAsia="en-US"/>
          </w:rPr>
          <w:t>III</w:t>
        </w:r>
      </w:smartTag>
      <w:r w:rsidRPr="008E703D">
        <w:rPr>
          <w:rFonts w:eastAsia="Times New Roman"/>
          <w:szCs w:val="20"/>
          <w:lang w:eastAsia="en-US"/>
        </w:rPr>
        <w:t xml:space="preserve"> of the Convention and adopted the decision-guidance document with the effect that this group of chemicals became subject to the </w:t>
      </w:r>
      <w:smartTag w:uri="urn:schemas-microsoft-com:office:smarttags" w:element="stockticker">
        <w:r w:rsidRPr="008E703D">
          <w:rPr>
            <w:rFonts w:eastAsia="Times New Roman"/>
            <w:szCs w:val="20"/>
            <w:lang w:eastAsia="en-US"/>
          </w:rPr>
          <w:t>PIC</w:t>
        </w:r>
      </w:smartTag>
      <w:r w:rsidRPr="008E703D">
        <w:rPr>
          <w:rFonts w:eastAsia="Times New Roman"/>
          <w:szCs w:val="20"/>
          <w:lang w:eastAsia="en-US"/>
        </w:rPr>
        <w:t xml:space="preserve"> procedure.</w:t>
      </w:r>
    </w:p>
    <w:p w14:paraId="05A6E5ED" w14:textId="77777777" w:rsidR="00AA6543" w:rsidRPr="008E703D" w:rsidRDefault="00AA6543" w:rsidP="00AA6543">
      <w:pPr>
        <w:rPr>
          <w:rFonts w:eastAsia="Times New Roman"/>
          <w:szCs w:val="20"/>
          <w:lang w:eastAsia="en-US"/>
        </w:rPr>
      </w:pPr>
      <w:r w:rsidRPr="008E703D">
        <w:rPr>
          <w:rFonts w:eastAsia="Times New Roman"/>
          <w:szCs w:val="20"/>
          <w:lang w:eastAsia="en-US"/>
        </w:rPr>
        <w:t>The present decision-guidance document was communicated to designated national authorities on […], in accordance with Articles 7 and 10 of the Rotterdam Convention.</w:t>
      </w:r>
    </w:p>
    <w:p w14:paraId="6ECF5743" w14:textId="77777777" w:rsidR="00AA6543" w:rsidRPr="006170BD" w:rsidRDefault="00AA6543" w:rsidP="006170BD">
      <w:pPr>
        <w:rPr>
          <w:b/>
          <w:bCs/>
        </w:rPr>
      </w:pPr>
      <w:r w:rsidRPr="006170BD">
        <w:rPr>
          <w:b/>
          <w:bCs/>
        </w:rPr>
        <w:t xml:space="preserve">Purpose of the decision guidance document </w:t>
      </w:r>
    </w:p>
    <w:p w14:paraId="23539EF3" w14:textId="77777777" w:rsidR="00AA6543" w:rsidRPr="00AA6543" w:rsidRDefault="00AA6543" w:rsidP="008E703D">
      <w:pPr>
        <w:rPr>
          <w:lang w:eastAsia="en-US"/>
        </w:rPr>
      </w:pPr>
      <w:r w:rsidRPr="00AA6543">
        <w:rPr>
          <w:lang w:eastAsia="en-US"/>
        </w:rPr>
        <w:t xml:space="preserve">For each chemical included in Annex </w:t>
      </w:r>
      <w:smartTag w:uri="urn:schemas-microsoft-com:office:smarttags" w:element="stockticker">
        <w:r w:rsidRPr="00AA6543">
          <w:rPr>
            <w:lang w:eastAsia="en-US"/>
          </w:rPr>
          <w:t>III</w:t>
        </w:r>
      </w:smartTag>
      <w:r w:rsidRPr="00AA6543">
        <w:rPr>
          <w:lang w:eastAsia="en-US"/>
        </w:rPr>
        <w:t xml:space="preserve"> of the Rotterdam Convention, a decision-guidance document has been approved by the Conference of the Parties. Decision-guidance documents are sent to all Parties with a request that they </w:t>
      </w:r>
      <w:proofErr w:type="gramStart"/>
      <w:r w:rsidRPr="00AA6543">
        <w:rPr>
          <w:lang w:eastAsia="en-US"/>
        </w:rPr>
        <w:t>make a decision</w:t>
      </w:r>
      <w:proofErr w:type="gramEnd"/>
      <w:r w:rsidRPr="00AA6543">
        <w:rPr>
          <w:lang w:eastAsia="en-US"/>
        </w:rPr>
        <w:t xml:space="preserve"> regarding future import of the chemical. </w:t>
      </w:r>
    </w:p>
    <w:p w14:paraId="5A05A29F" w14:textId="77777777" w:rsidR="00AA6543" w:rsidRPr="00AA6543" w:rsidRDefault="00AA6543" w:rsidP="008E703D">
      <w:pPr>
        <w:rPr>
          <w:lang w:eastAsia="en-US"/>
        </w:rPr>
      </w:pPr>
      <w:r w:rsidRPr="00AA6543">
        <w:rPr>
          <w:lang w:eastAsia="en-US"/>
        </w:rPr>
        <w:t xml:space="preserve">Decision-guidance documents are prepared by the Chemical Review Committee. The Committee is a group of government-designated experts established in line with Article 18 of the Convention, which evaluates candidate chemicals for possible inclusion in Annex </w:t>
      </w:r>
      <w:smartTag w:uri="urn:schemas-microsoft-com:office:smarttags" w:element="stockticker">
        <w:r w:rsidRPr="00AA6543">
          <w:rPr>
            <w:lang w:eastAsia="en-US"/>
          </w:rPr>
          <w:t>III</w:t>
        </w:r>
      </w:smartTag>
      <w:r w:rsidRPr="00AA6543">
        <w:rPr>
          <w:lang w:eastAsia="en-US"/>
        </w:rPr>
        <w:t xml:space="preserve"> of the Convention. Decision-guidance documents reflect the information provided by two or more Parties in support of their national regulatory actions to ban or severely restrict the chemical. They are not intended as the only source of information on a </w:t>
      </w:r>
      <w:proofErr w:type="gramStart"/>
      <w:r w:rsidRPr="00AA6543">
        <w:rPr>
          <w:lang w:eastAsia="en-US"/>
        </w:rPr>
        <w:t>chemical</w:t>
      </w:r>
      <w:proofErr w:type="gramEnd"/>
      <w:r w:rsidRPr="00AA6543">
        <w:rPr>
          <w:lang w:eastAsia="en-US"/>
        </w:rPr>
        <w:t xml:space="preserve"> nor are they updated or revised following their adoption by the Conference of the Parties.</w:t>
      </w:r>
    </w:p>
    <w:p w14:paraId="253C9F81" w14:textId="77777777" w:rsidR="00AA6543" w:rsidRPr="00AA6543" w:rsidRDefault="00AA6543" w:rsidP="008E703D">
      <w:pPr>
        <w:rPr>
          <w:lang w:eastAsia="en-US"/>
        </w:rPr>
      </w:pPr>
      <w:r w:rsidRPr="00AA6543">
        <w:rPr>
          <w:lang w:eastAsia="en-US"/>
        </w:rPr>
        <w:t>There may be additional Parties that have taken regulatory actions to ban or severely restrict the chemical and others that have not banned or severely restricted it. Risk evaluations or information on alternative risk mitigation measures submitted by such Parties may be found on the Rotterdam Convention website (www.pic.int).</w:t>
      </w:r>
    </w:p>
    <w:p w14:paraId="21BFE75D" w14:textId="77777777" w:rsidR="00AA6543" w:rsidRPr="00AA6543" w:rsidRDefault="00AA6543" w:rsidP="008E703D">
      <w:pPr>
        <w:rPr>
          <w:lang w:eastAsia="en-US"/>
        </w:rPr>
      </w:pPr>
      <w:r w:rsidRPr="00AA6543">
        <w:rPr>
          <w:lang w:eastAsia="en-US"/>
        </w:rPr>
        <w:t xml:space="preserve">Under Article 14 of the Convention, Parties can exchange scientific, technical, </w:t>
      </w:r>
      <w:proofErr w:type="gramStart"/>
      <w:r w:rsidRPr="00AA6543">
        <w:rPr>
          <w:lang w:eastAsia="en-US"/>
        </w:rPr>
        <w:t>economic</w:t>
      </w:r>
      <w:proofErr w:type="gramEnd"/>
      <w:r w:rsidRPr="00AA6543">
        <w:rPr>
          <w:lang w:eastAsia="en-US"/>
        </w:rPr>
        <w:t xml:space="preserve"> and legal information concerning the chemicals under the scope of the Convention including toxicological, ecotoxicological and safety information. This information may be provided directly to other Parties or through the Secretariat. Information provided to the Secretariat will be posted on the Rotterdam Convention website.</w:t>
      </w:r>
    </w:p>
    <w:p w14:paraId="5A1BA9E8" w14:textId="77777777" w:rsidR="00AA6543" w:rsidRPr="00AA6543" w:rsidRDefault="00AA6543" w:rsidP="008E703D">
      <w:pPr>
        <w:rPr>
          <w:lang w:eastAsia="en-US"/>
        </w:rPr>
      </w:pPr>
      <w:r w:rsidRPr="00AA6543">
        <w:rPr>
          <w:lang w:eastAsia="en-US"/>
        </w:rPr>
        <w:t>Information on the chemical may also be available from other sources.</w:t>
      </w:r>
    </w:p>
    <w:p w14:paraId="7252224A" w14:textId="77777777" w:rsidR="00AA6543" w:rsidRPr="006170BD" w:rsidRDefault="00AA6543" w:rsidP="006170BD">
      <w:pPr>
        <w:rPr>
          <w:b/>
          <w:bCs/>
        </w:rPr>
      </w:pPr>
      <w:r w:rsidRPr="006170BD">
        <w:rPr>
          <w:b/>
          <w:bCs/>
        </w:rPr>
        <w:t>Disclaimer</w:t>
      </w:r>
    </w:p>
    <w:p w14:paraId="53FA5822" w14:textId="77777777" w:rsidR="00AA6543" w:rsidRPr="00AA6543" w:rsidRDefault="00AA6543" w:rsidP="008E703D">
      <w:pPr>
        <w:rPr>
          <w:lang w:eastAsia="en-US"/>
        </w:rPr>
      </w:pPr>
      <w:r w:rsidRPr="00AA6543">
        <w:rPr>
          <w:lang w:eastAsia="en-US"/>
        </w:rPr>
        <w:t xml:space="preserve">The use of trade names in the present document is primarily intended to facilitate the correct identification of the chemical. It is not intended to imply any approval or disapproval of any </w:t>
      </w:r>
      <w:proofErr w:type="gramStart"/>
      <w:r w:rsidRPr="00AA6543">
        <w:rPr>
          <w:lang w:eastAsia="en-US"/>
        </w:rPr>
        <w:t>particular company</w:t>
      </w:r>
      <w:proofErr w:type="gramEnd"/>
      <w:r w:rsidRPr="00AA6543">
        <w:rPr>
          <w:lang w:eastAsia="en-US"/>
        </w:rPr>
        <w:t xml:space="preserve">. As it is not possible to include all trade names presently in use, only </w:t>
      </w:r>
      <w:proofErr w:type="gramStart"/>
      <w:r w:rsidRPr="00AA6543">
        <w:rPr>
          <w:lang w:eastAsia="en-US"/>
        </w:rPr>
        <w:t>a number of</w:t>
      </w:r>
      <w:proofErr w:type="gramEnd"/>
      <w:r w:rsidRPr="00AA6543">
        <w:rPr>
          <w:lang w:eastAsia="en-US"/>
        </w:rPr>
        <w:t xml:space="preserve"> commonly used and published trade names have been included in the document.</w:t>
      </w:r>
    </w:p>
    <w:p w14:paraId="4613F5E1" w14:textId="77777777" w:rsidR="00AA6543" w:rsidRPr="00AA6543" w:rsidRDefault="00AA6543" w:rsidP="008E703D">
      <w:pPr>
        <w:rPr>
          <w:lang w:eastAsia="en-US"/>
        </w:rPr>
      </w:pPr>
      <w:r w:rsidRPr="00AA6543">
        <w:rPr>
          <w:lang w:eastAsia="en-US"/>
        </w:rPr>
        <w:t xml:space="preserve">While the information provided is believed to be accurate according to data available at the time of preparation of the present decision-guidance document, FAO and UNEP disclaim any responsibility for omissions or any consequences that may arise there from. Neither FAO nor UNEP shall be liable for any injury, loss, </w:t>
      </w:r>
      <w:proofErr w:type="gramStart"/>
      <w:r w:rsidRPr="00AA6543">
        <w:rPr>
          <w:lang w:eastAsia="en-US"/>
        </w:rPr>
        <w:t>damage</w:t>
      </w:r>
      <w:proofErr w:type="gramEnd"/>
      <w:r w:rsidRPr="00AA6543">
        <w:rPr>
          <w:lang w:eastAsia="en-US"/>
        </w:rPr>
        <w:t xml:space="preserve"> or prejudice of any kind that may be suffered as a result of importing or prohibiting the import of this chemical.</w:t>
      </w:r>
    </w:p>
    <w:p w14:paraId="06CC974D" w14:textId="77777777" w:rsidR="00AA6543" w:rsidRPr="00AA6543" w:rsidRDefault="00AA6543" w:rsidP="008E703D">
      <w:pPr>
        <w:rPr>
          <w:lang w:eastAsia="en-US"/>
        </w:rPr>
      </w:pPr>
      <w:r w:rsidRPr="00AA6543">
        <w:rPr>
          <w:lang w:eastAsia="en-US"/>
        </w:rPr>
        <w:lastRenderedPageBreak/>
        <w:t xml:space="preserve">The designations employed and the presentation of material in this publication do not imply the expression of any opinion whatsoever on the part of FAO or UNEP concerning the legal status of any country, territory, </w:t>
      </w:r>
      <w:proofErr w:type="gramStart"/>
      <w:r w:rsidRPr="00AA6543">
        <w:rPr>
          <w:lang w:eastAsia="en-US"/>
        </w:rPr>
        <w:t>city</w:t>
      </w:r>
      <w:proofErr w:type="gramEnd"/>
      <w:r w:rsidRPr="00AA6543">
        <w:rPr>
          <w:lang w:eastAsia="en-US"/>
        </w:rPr>
        <w:t xml:space="preserve"> or area or of its authorities or concerning the delimitation of its frontiers or boundaries.</w:t>
      </w:r>
    </w:p>
    <w:p w14:paraId="71D5214A" w14:textId="77777777" w:rsidR="009123FC" w:rsidRPr="008B1BD3" w:rsidRDefault="00AA6543" w:rsidP="00BC60F2">
      <w:pPr>
        <w:pStyle w:val="Heading1"/>
      </w:pPr>
      <w:r w:rsidRPr="00AA6543">
        <w:br w:type="page"/>
      </w:r>
      <w:bookmarkStart w:id="2" w:name="_Toc154010805"/>
      <w:r w:rsidR="009123FC" w:rsidRPr="00BC60F2">
        <w:lastRenderedPageBreak/>
        <w:t>Standard</w:t>
      </w:r>
      <w:r w:rsidR="009123FC" w:rsidRPr="008B1BD3">
        <w:t xml:space="preserve"> core set of abbreviations</w:t>
      </w:r>
      <w:bookmarkEnd w:id="2"/>
    </w:p>
    <w:tbl>
      <w:tblPr>
        <w:tblW w:w="95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50"/>
        <w:gridCol w:w="8176"/>
      </w:tblGrid>
      <w:tr w:rsidR="009123FC" w:rsidRPr="008B1BD3" w14:paraId="1A6685C6" w14:textId="77777777" w:rsidTr="00C0080D">
        <w:tc>
          <w:tcPr>
            <w:tcW w:w="1350" w:type="dxa"/>
          </w:tcPr>
          <w:p w14:paraId="186AF631"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&lt;</w:t>
            </w:r>
          </w:p>
        </w:tc>
        <w:tc>
          <w:tcPr>
            <w:tcW w:w="8176" w:type="dxa"/>
          </w:tcPr>
          <w:p w14:paraId="5A737544"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L</w:t>
            </w:r>
            <w:r w:rsidR="009123FC" w:rsidRPr="008B1BD3">
              <w:rPr>
                <w:color w:val="000000"/>
                <w:szCs w:val="22"/>
              </w:rPr>
              <w:t>ess than</w:t>
            </w:r>
          </w:p>
        </w:tc>
      </w:tr>
      <w:tr w:rsidR="009123FC" w:rsidRPr="008B1BD3" w14:paraId="00CF6DB5" w14:textId="77777777" w:rsidTr="00C0080D">
        <w:tc>
          <w:tcPr>
            <w:tcW w:w="1350" w:type="dxa"/>
          </w:tcPr>
          <w:p w14:paraId="6A26CF20"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u w:val="single"/>
              </w:rPr>
              <w:t>&lt;</w:t>
            </w:r>
          </w:p>
        </w:tc>
        <w:tc>
          <w:tcPr>
            <w:tcW w:w="8176" w:type="dxa"/>
          </w:tcPr>
          <w:p w14:paraId="6DE4E26D"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L</w:t>
            </w:r>
            <w:r w:rsidR="009123FC" w:rsidRPr="008B1BD3">
              <w:rPr>
                <w:color w:val="000000"/>
                <w:szCs w:val="22"/>
              </w:rPr>
              <w:t>ess than or equal to</w:t>
            </w:r>
          </w:p>
        </w:tc>
      </w:tr>
      <w:tr w:rsidR="009123FC" w:rsidRPr="008B1BD3" w14:paraId="3D774252" w14:textId="77777777" w:rsidTr="00C0080D">
        <w:tc>
          <w:tcPr>
            <w:tcW w:w="1350" w:type="dxa"/>
          </w:tcPr>
          <w:p w14:paraId="30B060D8"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&gt;</w:t>
            </w:r>
          </w:p>
        </w:tc>
        <w:tc>
          <w:tcPr>
            <w:tcW w:w="8176" w:type="dxa"/>
          </w:tcPr>
          <w:p w14:paraId="797FF8C3"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G</w:t>
            </w:r>
            <w:r w:rsidR="009123FC" w:rsidRPr="008B1BD3">
              <w:rPr>
                <w:color w:val="000000"/>
                <w:szCs w:val="22"/>
              </w:rPr>
              <w:t>reater than</w:t>
            </w:r>
          </w:p>
        </w:tc>
      </w:tr>
      <w:tr w:rsidR="009123FC" w:rsidRPr="008B1BD3" w14:paraId="6E3977CE" w14:textId="77777777" w:rsidTr="00C0080D">
        <w:tc>
          <w:tcPr>
            <w:tcW w:w="1350" w:type="dxa"/>
          </w:tcPr>
          <w:p w14:paraId="23380E32"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u w:val="single"/>
              </w:rPr>
              <w:t>&gt;</w:t>
            </w:r>
          </w:p>
        </w:tc>
        <w:tc>
          <w:tcPr>
            <w:tcW w:w="8176" w:type="dxa"/>
          </w:tcPr>
          <w:p w14:paraId="388555CD"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G</w:t>
            </w:r>
            <w:r w:rsidR="009123FC" w:rsidRPr="008B1BD3">
              <w:rPr>
                <w:color w:val="000000"/>
                <w:szCs w:val="22"/>
              </w:rPr>
              <w:t>reater than or equal to</w:t>
            </w:r>
          </w:p>
        </w:tc>
      </w:tr>
      <w:tr w:rsidR="009123FC" w:rsidRPr="008B1BD3" w14:paraId="703B8811" w14:textId="77777777" w:rsidTr="00C0080D">
        <w:tc>
          <w:tcPr>
            <w:tcW w:w="1350" w:type="dxa"/>
          </w:tcPr>
          <w:p w14:paraId="2DB60DFA"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µg</w:t>
            </w:r>
          </w:p>
        </w:tc>
        <w:tc>
          <w:tcPr>
            <w:tcW w:w="8176" w:type="dxa"/>
          </w:tcPr>
          <w:p w14:paraId="3C42F847"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sidRPr="008B1BD3">
              <w:rPr>
                <w:color w:val="000000"/>
                <w:szCs w:val="22"/>
              </w:rPr>
              <w:t>icrogram</w:t>
            </w:r>
          </w:p>
        </w:tc>
      </w:tr>
      <w:tr w:rsidR="009123FC" w:rsidRPr="008B1BD3" w14:paraId="2BD1E2F0" w14:textId="77777777" w:rsidTr="00C0080D">
        <w:tc>
          <w:tcPr>
            <w:tcW w:w="1350" w:type="dxa"/>
          </w:tcPr>
          <w:p w14:paraId="36DFF0E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sym w:font="Symbol" w:char="F06D"/>
            </w:r>
            <w:r w:rsidRPr="008B1BD3">
              <w:rPr>
                <w:color w:val="000000"/>
                <w:szCs w:val="22"/>
              </w:rPr>
              <w:t>m</w:t>
            </w:r>
          </w:p>
        </w:tc>
        <w:tc>
          <w:tcPr>
            <w:tcW w:w="8176" w:type="dxa"/>
          </w:tcPr>
          <w:p w14:paraId="482AC4E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sidRPr="008B1BD3">
              <w:rPr>
                <w:color w:val="000000"/>
                <w:szCs w:val="22"/>
              </w:rPr>
              <w:t>icrometre</w:t>
            </w:r>
          </w:p>
        </w:tc>
      </w:tr>
      <w:tr w:rsidR="009123FC" w:rsidRPr="008B1BD3" w14:paraId="6157407A" w14:textId="77777777" w:rsidTr="00C0080D">
        <w:tc>
          <w:tcPr>
            <w:tcW w:w="1350" w:type="dxa"/>
          </w:tcPr>
          <w:p w14:paraId="2DFBCA0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A</w:t>
            </w:r>
            <w:r>
              <w:rPr>
                <w:color w:val="000000"/>
                <w:szCs w:val="22"/>
              </w:rPr>
              <w:t>R</w:t>
            </w:r>
            <w:r w:rsidRPr="008B1BD3">
              <w:rPr>
                <w:color w:val="000000"/>
                <w:szCs w:val="22"/>
              </w:rPr>
              <w:t>fD</w:t>
            </w:r>
            <w:proofErr w:type="spellEnd"/>
          </w:p>
        </w:tc>
        <w:tc>
          <w:tcPr>
            <w:tcW w:w="8176" w:type="dxa"/>
          </w:tcPr>
          <w:p w14:paraId="2F83761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A</w:t>
            </w:r>
            <w:r w:rsidR="009123FC" w:rsidRPr="008B1BD3">
              <w:rPr>
                <w:color w:val="000000"/>
                <w:szCs w:val="22"/>
              </w:rPr>
              <w:t>cute reference dose</w:t>
            </w:r>
          </w:p>
        </w:tc>
      </w:tr>
      <w:tr w:rsidR="009123FC" w:rsidRPr="008B1BD3" w14:paraId="062CAFBB" w14:textId="77777777" w:rsidTr="00C0080D">
        <w:tc>
          <w:tcPr>
            <w:tcW w:w="1350" w:type="dxa"/>
          </w:tcPr>
          <w:p w14:paraId="6B517184"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a.i.</w:t>
            </w:r>
            <w:proofErr w:type="spellEnd"/>
          </w:p>
        </w:tc>
        <w:tc>
          <w:tcPr>
            <w:tcW w:w="8176" w:type="dxa"/>
          </w:tcPr>
          <w:p w14:paraId="2E7CD60E"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A</w:t>
            </w:r>
            <w:r w:rsidR="009123FC" w:rsidRPr="008B1BD3">
              <w:rPr>
                <w:color w:val="000000"/>
                <w:szCs w:val="22"/>
              </w:rPr>
              <w:t>ctive ingredient</w:t>
            </w:r>
          </w:p>
        </w:tc>
      </w:tr>
      <w:tr w:rsidR="009123FC" w:rsidRPr="008B1BD3" w14:paraId="19D7D510" w14:textId="77777777" w:rsidTr="00C0080D">
        <w:tc>
          <w:tcPr>
            <w:tcW w:w="1350" w:type="dxa"/>
          </w:tcPr>
          <w:p w14:paraId="7B5E47D6"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smartTag w:uri="urn:schemas-microsoft-com:office:smarttags" w:element="stockticker">
              <w:r w:rsidRPr="008B1BD3">
                <w:rPr>
                  <w:color w:val="000000"/>
                  <w:szCs w:val="22"/>
                </w:rPr>
                <w:t>ADI</w:t>
              </w:r>
            </w:smartTag>
          </w:p>
        </w:tc>
        <w:tc>
          <w:tcPr>
            <w:tcW w:w="8176" w:type="dxa"/>
          </w:tcPr>
          <w:p w14:paraId="6AF6D1B4"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A</w:t>
            </w:r>
            <w:r w:rsidR="009123FC" w:rsidRPr="008B1BD3">
              <w:rPr>
                <w:color w:val="000000"/>
                <w:szCs w:val="22"/>
              </w:rPr>
              <w:t>cceptable daily intake</w:t>
            </w:r>
          </w:p>
        </w:tc>
      </w:tr>
      <w:tr w:rsidR="009123FC" w:rsidRPr="008B1BD3" w:rsidDel="00357419" w14:paraId="1D589704" w14:textId="77777777" w:rsidTr="00C0080D">
        <w:tc>
          <w:tcPr>
            <w:tcW w:w="1350" w:type="dxa"/>
          </w:tcPr>
          <w:p w14:paraId="0815853B" w14:textId="77777777" w:rsidR="009123FC" w:rsidRPr="008B1BD3" w:rsidDel="00357419"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AOEL</w:t>
            </w:r>
          </w:p>
        </w:tc>
        <w:tc>
          <w:tcPr>
            <w:tcW w:w="8176" w:type="dxa"/>
          </w:tcPr>
          <w:p w14:paraId="3CA4E7AC" w14:textId="77777777" w:rsidR="009123FC" w:rsidRPr="008B1BD3" w:rsidDel="00357419" w:rsidRDefault="00BC60F2" w:rsidP="007E5756">
            <w:pPr>
              <w:tabs>
                <w:tab w:val="left" w:pos="624"/>
                <w:tab w:val="left" w:pos="1247"/>
                <w:tab w:val="left" w:pos="1871"/>
                <w:tab w:val="left" w:pos="2495"/>
              </w:tabs>
              <w:spacing w:before="40" w:after="40"/>
              <w:rPr>
                <w:color w:val="000000"/>
                <w:szCs w:val="22"/>
              </w:rPr>
            </w:pPr>
            <w:r>
              <w:rPr>
                <w:color w:val="000000"/>
                <w:szCs w:val="22"/>
              </w:rPr>
              <w:t>A</w:t>
            </w:r>
            <w:r w:rsidR="009123FC">
              <w:rPr>
                <w:color w:val="000000"/>
                <w:szCs w:val="22"/>
              </w:rPr>
              <w:t>cceptable operator exposure level</w:t>
            </w:r>
          </w:p>
        </w:tc>
      </w:tr>
      <w:tr w:rsidR="009123FC" w:rsidRPr="008B1BD3" w14:paraId="51AAABDA" w14:textId="77777777" w:rsidTr="00C0080D">
        <w:tc>
          <w:tcPr>
            <w:tcW w:w="1350" w:type="dxa"/>
          </w:tcPr>
          <w:p w14:paraId="6AA62CA6"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b.p.</w:t>
            </w:r>
          </w:p>
        </w:tc>
        <w:tc>
          <w:tcPr>
            <w:tcW w:w="8176" w:type="dxa"/>
          </w:tcPr>
          <w:p w14:paraId="040BBEFD"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B</w:t>
            </w:r>
            <w:r w:rsidR="009123FC" w:rsidRPr="008B1BD3">
              <w:rPr>
                <w:color w:val="000000"/>
                <w:szCs w:val="22"/>
              </w:rPr>
              <w:t>oiling point</w:t>
            </w:r>
          </w:p>
        </w:tc>
      </w:tr>
      <w:tr w:rsidR="009123FC" w:rsidRPr="008B1BD3" w14:paraId="01702B73" w14:textId="77777777" w:rsidTr="00C0080D">
        <w:tc>
          <w:tcPr>
            <w:tcW w:w="1350" w:type="dxa"/>
          </w:tcPr>
          <w:p w14:paraId="1B8FB00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bw</w:t>
            </w:r>
            <w:proofErr w:type="spellEnd"/>
          </w:p>
        </w:tc>
        <w:tc>
          <w:tcPr>
            <w:tcW w:w="8176" w:type="dxa"/>
          </w:tcPr>
          <w:p w14:paraId="7260AA3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B</w:t>
            </w:r>
            <w:r w:rsidR="009123FC" w:rsidRPr="008B1BD3">
              <w:rPr>
                <w:color w:val="000000"/>
                <w:szCs w:val="22"/>
              </w:rPr>
              <w:t>ody weight</w:t>
            </w:r>
          </w:p>
        </w:tc>
      </w:tr>
      <w:tr w:rsidR="009123FC" w:rsidRPr="008B1BD3" w14:paraId="531BB3B9" w14:textId="77777777" w:rsidTr="00C0080D">
        <w:tc>
          <w:tcPr>
            <w:tcW w:w="1350" w:type="dxa"/>
          </w:tcPr>
          <w:p w14:paraId="473F984B"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vertAlign w:val="superscript"/>
              </w:rPr>
              <w:t>o</w:t>
            </w:r>
            <w:r w:rsidRPr="008B1BD3">
              <w:rPr>
                <w:color w:val="000000"/>
                <w:szCs w:val="22"/>
              </w:rPr>
              <w:t>C</w:t>
            </w:r>
            <w:proofErr w:type="spellEnd"/>
          </w:p>
        </w:tc>
        <w:tc>
          <w:tcPr>
            <w:tcW w:w="8176" w:type="dxa"/>
          </w:tcPr>
          <w:p w14:paraId="6DC253F4"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D</w:t>
            </w:r>
            <w:r w:rsidR="009123FC" w:rsidRPr="008B1BD3">
              <w:rPr>
                <w:color w:val="000000"/>
                <w:szCs w:val="22"/>
              </w:rPr>
              <w:t>egree Celsius (centigrade)</w:t>
            </w:r>
          </w:p>
        </w:tc>
      </w:tr>
      <w:tr w:rsidR="009123FC" w:rsidRPr="008B1BD3" w14:paraId="0EFB57AC" w14:textId="77777777" w:rsidTr="00C0080D">
        <w:tc>
          <w:tcPr>
            <w:tcW w:w="1350" w:type="dxa"/>
          </w:tcPr>
          <w:p w14:paraId="68CA9240"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CAS</w:t>
            </w:r>
          </w:p>
        </w:tc>
        <w:tc>
          <w:tcPr>
            <w:tcW w:w="8176" w:type="dxa"/>
          </w:tcPr>
          <w:p w14:paraId="3E599D7B" w14:textId="77777777" w:rsidR="009123FC" w:rsidRPr="008B1BD3" w:rsidRDefault="009123FC" w:rsidP="007E5756">
            <w:pPr>
              <w:tabs>
                <w:tab w:val="left" w:pos="624"/>
                <w:tab w:val="left" w:pos="1247"/>
                <w:tab w:val="left" w:pos="1871"/>
                <w:tab w:val="left" w:pos="2495"/>
              </w:tabs>
              <w:spacing w:before="40" w:after="40"/>
              <w:rPr>
                <w:color w:val="000000"/>
                <w:szCs w:val="22"/>
              </w:rPr>
            </w:pPr>
            <w:r>
              <w:rPr>
                <w:color w:val="000000"/>
                <w:szCs w:val="22"/>
              </w:rPr>
              <w:t>Chemical Abstracts Service</w:t>
            </w:r>
          </w:p>
        </w:tc>
      </w:tr>
      <w:tr w:rsidR="009123FC" w:rsidRPr="008B1BD3" w14:paraId="00AA33D9" w14:textId="77777777" w:rsidTr="00C0080D">
        <w:tc>
          <w:tcPr>
            <w:tcW w:w="1350" w:type="dxa"/>
          </w:tcPr>
          <w:p w14:paraId="5B5F08B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cc</w:t>
            </w:r>
          </w:p>
        </w:tc>
        <w:tc>
          <w:tcPr>
            <w:tcW w:w="8176" w:type="dxa"/>
          </w:tcPr>
          <w:p w14:paraId="67DF681E"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C</w:t>
            </w:r>
            <w:r w:rsidR="009123FC" w:rsidRPr="008B1BD3">
              <w:rPr>
                <w:color w:val="000000"/>
                <w:szCs w:val="22"/>
              </w:rPr>
              <w:t>ubic centimetre</w:t>
            </w:r>
          </w:p>
        </w:tc>
      </w:tr>
      <w:tr w:rsidR="009123FC" w:rsidRPr="008B1BD3" w14:paraId="63DE767F" w14:textId="77777777" w:rsidTr="00C0080D">
        <w:tc>
          <w:tcPr>
            <w:tcW w:w="1350" w:type="dxa"/>
          </w:tcPr>
          <w:p w14:paraId="1C93C35B"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cm</w:t>
            </w:r>
          </w:p>
        </w:tc>
        <w:tc>
          <w:tcPr>
            <w:tcW w:w="8176" w:type="dxa"/>
          </w:tcPr>
          <w:p w14:paraId="6BBA4463"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C</w:t>
            </w:r>
            <w:r w:rsidR="009123FC" w:rsidRPr="008B1BD3">
              <w:rPr>
                <w:color w:val="000000"/>
                <w:szCs w:val="22"/>
              </w:rPr>
              <w:t>entimetre</w:t>
            </w:r>
          </w:p>
        </w:tc>
      </w:tr>
      <w:tr w:rsidR="009123FC" w:rsidRPr="008B1BD3" w14:paraId="0E91E80E" w14:textId="77777777" w:rsidTr="00C0080D">
        <w:tc>
          <w:tcPr>
            <w:tcW w:w="1350" w:type="dxa"/>
          </w:tcPr>
          <w:p w14:paraId="6874D75A"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DNA</w:t>
            </w:r>
          </w:p>
        </w:tc>
        <w:tc>
          <w:tcPr>
            <w:tcW w:w="8176" w:type="dxa"/>
          </w:tcPr>
          <w:p w14:paraId="65768324"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D</w:t>
            </w:r>
            <w:r w:rsidR="009123FC" w:rsidRPr="008B1BD3">
              <w:rPr>
                <w:color w:val="000000"/>
                <w:szCs w:val="22"/>
              </w:rPr>
              <w:t>eoxyribose nucleic acid</w:t>
            </w:r>
          </w:p>
        </w:tc>
      </w:tr>
      <w:tr w:rsidR="009123FC" w:rsidRPr="008B1BD3" w14:paraId="00FAD243" w14:textId="77777777" w:rsidTr="00C0080D">
        <w:tc>
          <w:tcPr>
            <w:tcW w:w="1350" w:type="dxa"/>
          </w:tcPr>
          <w:p w14:paraId="0E800AC0" w14:textId="77777777" w:rsidR="009123FC" w:rsidRPr="008B1BD3" w:rsidRDefault="009123FC" w:rsidP="007E5756">
            <w:pPr>
              <w:tabs>
                <w:tab w:val="left" w:pos="624"/>
                <w:tab w:val="left" w:pos="1247"/>
                <w:tab w:val="left" w:pos="1871"/>
                <w:tab w:val="left" w:pos="2495"/>
              </w:tabs>
              <w:spacing w:before="40" w:after="40"/>
              <w:ind w:left="34"/>
              <w:rPr>
                <w:color w:val="000000"/>
                <w:szCs w:val="22"/>
              </w:rPr>
            </w:pPr>
            <w:r>
              <w:rPr>
                <w:color w:val="000000"/>
                <w:szCs w:val="22"/>
              </w:rPr>
              <w:t>DT</w:t>
            </w:r>
            <w:r w:rsidRPr="0050081F">
              <w:rPr>
                <w:color w:val="000000"/>
                <w:szCs w:val="22"/>
                <w:vertAlign w:val="subscript"/>
              </w:rPr>
              <w:t>50</w:t>
            </w:r>
          </w:p>
        </w:tc>
        <w:tc>
          <w:tcPr>
            <w:tcW w:w="8176" w:type="dxa"/>
          </w:tcPr>
          <w:p w14:paraId="61291AED"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D</w:t>
            </w:r>
            <w:r w:rsidR="009123FC">
              <w:rPr>
                <w:color w:val="000000"/>
                <w:szCs w:val="22"/>
              </w:rPr>
              <w:t>issipation time 50%</w:t>
            </w:r>
          </w:p>
        </w:tc>
      </w:tr>
      <w:tr w:rsidR="009123FC" w:rsidRPr="008B1BD3" w14:paraId="56948D13" w14:textId="77777777" w:rsidTr="00C0080D">
        <w:tc>
          <w:tcPr>
            <w:tcW w:w="1350" w:type="dxa"/>
          </w:tcPr>
          <w:p w14:paraId="316117DA"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EC</w:t>
            </w:r>
            <w:r w:rsidRPr="008B1BD3">
              <w:rPr>
                <w:color w:val="000000"/>
                <w:szCs w:val="22"/>
                <w:vertAlign w:val="subscript"/>
              </w:rPr>
              <w:t>50</w:t>
            </w:r>
          </w:p>
        </w:tc>
        <w:tc>
          <w:tcPr>
            <w:tcW w:w="8176" w:type="dxa"/>
          </w:tcPr>
          <w:p w14:paraId="74DCD2EC"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rPr>
              <w:t>M</w:t>
            </w:r>
            <w:r w:rsidR="009123FC">
              <w:rPr>
                <w:color w:val="000000"/>
              </w:rPr>
              <w:t>edian effective concentration</w:t>
            </w:r>
          </w:p>
        </w:tc>
      </w:tr>
      <w:tr w:rsidR="009123FC" w:rsidRPr="008B1BD3" w14:paraId="1C23516F" w14:textId="77777777" w:rsidTr="00C0080D">
        <w:tc>
          <w:tcPr>
            <w:tcW w:w="1350" w:type="dxa"/>
          </w:tcPr>
          <w:p w14:paraId="1BF4F256"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ED</w:t>
            </w:r>
            <w:r w:rsidRPr="008B1BD3">
              <w:rPr>
                <w:color w:val="000000"/>
                <w:szCs w:val="22"/>
                <w:vertAlign w:val="subscript"/>
              </w:rPr>
              <w:t>50</w:t>
            </w:r>
          </w:p>
        </w:tc>
        <w:tc>
          <w:tcPr>
            <w:tcW w:w="8176" w:type="dxa"/>
          </w:tcPr>
          <w:p w14:paraId="1F019E51"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rPr>
              <w:t>M</w:t>
            </w:r>
            <w:r w:rsidR="009123FC">
              <w:rPr>
                <w:color w:val="000000"/>
              </w:rPr>
              <w:t>edian effective dose</w:t>
            </w:r>
          </w:p>
        </w:tc>
      </w:tr>
      <w:tr w:rsidR="009123FC" w:rsidRPr="008B1BD3" w14:paraId="5430570A" w14:textId="77777777" w:rsidTr="00C0080D">
        <w:tc>
          <w:tcPr>
            <w:tcW w:w="1350" w:type="dxa"/>
          </w:tcPr>
          <w:p w14:paraId="11F7D828" w14:textId="77777777" w:rsidR="00D6499F" w:rsidRDefault="00D6499F" w:rsidP="007E5756">
            <w:pPr>
              <w:tabs>
                <w:tab w:val="left" w:pos="624"/>
                <w:tab w:val="left" w:pos="1247"/>
                <w:tab w:val="left" w:pos="1871"/>
                <w:tab w:val="left" w:pos="2495"/>
              </w:tabs>
              <w:spacing w:before="40" w:after="40"/>
              <w:ind w:left="176" w:hanging="142"/>
              <w:rPr>
                <w:color w:val="000000"/>
                <w:szCs w:val="22"/>
              </w:rPr>
            </w:pPr>
            <w:r>
              <w:rPr>
                <w:color w:val="000000"/>
                <w:szCs w:val="22"/>
              </w:rPr>
              <w:t>ECHA</w:t>
            </w:r>
          </w:p>
          <w:p w14:paraId="6C2C3F49"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EEC</w:t>
            </w:r>
          </w:p>
        </w:tc>
        <w:tc>
          <w:tcPr>
            <w:tcW w:w="8176" w:type="dxa"/>
          </w:tcPr>
          <w:p w14:paraId="7884BBAB" w14:textId="77777777" w:rsidR="00D6499F" w:rsidRDefault="00D6499F" w:rsidP="007E5756">
            <w:pPr>
              <w:tabs>
                <w:tab w:val="left" w:pos="624"/>
                <w:tab w:val="left" w:pos="1247"/>
                <w:tab w:val="left" w:pos="1871"/>
                <w:tab w:val="left" w:pos="2495"/>
              </w:tabs>
              <w:spacing w:before="40" w:after="40"/>
              <w:rPr>
                <w:color w:val="000000"/>
                <w:szCs w:val="22"/>
              </w:rPr>
            </w:pPr>
            <w:r>
              <w:rPr>
                <w:color w:val="000000"/>
              </w:rPr>
              <w:t>European Chemicals Agency</w:t>
            </w:r>
          </w:p>
          <w:p w14:paraId="17207B8C"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European Economic Community</w:t>
            </w:r>
          </w:p>
        </w:tc>
      </w:tr>
      <w:tr w:rsidR="009123FC" w:rsidRPr="008B1BD3" w14:paraId="24E1ED40" w14:textId="77777777" w:rsidTr="00C0080D">
        <w:tc>
          <w:tcPr>
            <w:tcW w:w="1350" w:type="dxa"/>
          </w:tcPr>
          <w:p w14:paraId="5D8808C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EHC</w:t>
            </w:r>
          </w:p>
        </w:tc>
        <w:tc>
          <w:tcPr>
            <w:tcW w:w="8176" w:type="dxa"/>
          </w:tcPr>
          <w:p w14:paraId="46C59495" w14:textId="77777777" w:rsidR="009123FC" w:rsidRPr="008B1BD3" w:rsidRDefault="009123FC" w:rsidP="007E5756">
            <w:pPr>
              <w:tabs>
                <w:tab w:val="left" w:pos="624"/>
                <w:tab w:val="left" w:pos="1247"/>
                <w:tab w:val="left" w:pos="1871"/>
                <w:tab w:val="left" w:pos="2495"/>
              </w:tabs>
              <w:spacing w:before="40" w:after="40"/>
              <w:rPr>
                <w:color w:val="000000"/>
                <w:szCs w:val="22"/>
              </w:rPr>
            </w:pPr>
            <w:r>
              <w:rPr>
                <w:color w:val="000000"/>
                <w:szCs w:val="22"/>
              </w:rPr>
              <w:t>E</w:t>
            </w:r>
            <w:r w:rsidRPr="008B1BD3">
              <w:rPr>
                <w:color w:val="000000"/>
                <w:szCs w:val="22"/>
              </w:rPr>
              <w:t xml:space="preserve">nvironmental </w:t>
            </w:r>
            <w:r>
              <w:rPr>
                <w:color w:val="000000"/>
                <w:szCs w:val="22"/>
              </w:rPr>
              <w:t>H</w:t>
            </w:r>
            <w:r w:rsidRPr="008B1BD3">
              <w:rPr>
                <w:color w:val="000000"/>
                <w:szCs w:val="22"/>
              </w:rPr>
              <w:t xml:space="preserve">ealth </w:t>
            </w:r>
            <w:r>
              <w:rPr>
                <w:color w:val="000000"/>
                <w:szCs w:val="22"/>
              </w:rPr>
              <w:t>C</w:t>
            </w:r>
            <w:r w:rsidRPr="008B1BD3">
              <w:rPr>
                <w:color w:val="000000"/>
                <w:szCs w:val="22"/>
              </w:rPr>
              <w:t>riteria</w:t>
            </w:r>
          </w:p>
        </w:tc>
      </w:tr>
      <w:tr w:rsidR="009123FC" w:rsidRPr="008B1BD3" w14:paraId="5340F8AB" w14:textId="77777777" w:rsidTr="00C0080D">
        <w:tc>
          <w:tcPr>
            <w:tcW w:w="1350" w:type="dxa"/>
          </w:tcPr>
          <w:p w14:paraId="0A5770EB"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EU</w:t>
            </w:r>
          </w:p>
        </w:tc>
        <w:tc>
          <w:tcPr>
            <w:tcW w:w="8176" w:type="dxa"/>
          </w:tcPr>
          <w:p w14:paraId="5793917B" w14:textId="77777777" w:rsidR="009123FC" w:rsidRPr="008B1BD3" w:rsidRDefault="009123FC" w:rsidP="007E5756">
            <w:pPr>
              <w:tabs>
                <w:tab w:val="left" w:pos="624"/>
                <w:tab w:val="left" w:pos="1247"/>
                <w:tab w:val="left" w:pos="1871"/>
                <w:tab w:val="left" w:pos="2495"/>
              </w:tabs>
              <w:spacing w:before="40" w:after="40"/>
              <w:rPr>
                <w:color w:val="000000"/>
                <w:szCs w:val="22"/>
              </w:rPr>
            </w:pPr>
            <w:r>
              <w:rPr>
                <w:color w:val="000000"/>
                <w:szCs w:val="22"/>
              </w:rPr>
              <w:t>European Union</w:t>
            </w:r>
          </w:p>
        </w:tc>
      </w:tr>
      <w:tr w:rsidR="009123FC" w:rsidRPr="008B1BD3" w14:paraId="6639DFCE" w14:textId="77777777" w:rsidTr="00C0080D">
        <w:tc>
          <w:tcPr>
            <w:tcW w:w="1350" w:type="dxa"/>
          </w:tcPr>
          <w:p w14:paraId="7E90A1EB"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FAO</w:t>
            </w:r>
          </w:p>
        </w:tc>
        <w:tc>
          <w:tcPr>
            <w:tcW w:w="8176" w:type="dxa"/>
          </w:tcPr>
          <w:p w14:paraId="0DA0A07F"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Food and Agriculture Organization of the United Nations</w:t>
            </w:r>
          </w:p>
        </w:tc>
      </w:tr>
      <w:tr w:rsidR="009123FC" w:rsidRPr="008B1BD3" w14:paraId="1FF9B906" w14:textId="77777777" w:rsidTr="00C0080D">
        <w:tc>
          <w:tcPr>
            <w:tcW w:w="1350" w:type="dxa"/>
          </w:tcPr>
          <w:p w14:paraId="554BE07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g</w:t>
            </w:r>
          </w:p>
        </w:tc>
        <w:tc>
          <w:tcPr>
            <w:tcW w:w="8176" w:type="dxa"/>
          </w:tcPr>
          <w:p w14:paraId="5AEF0E05"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G</w:t>
            </w:r>
            <w:r w:rsidR="009123FC" w:rsidRPr="008B1BD3">
              <w:rPr>
                <w:color w:val="000000"/>
                <w:szCs w:val="22"/>
              </w:rPr>
              <w:t>ram</w:t>
            </w:r>
          </w:p>
        </w:tc>
      </w:tr>
      <w:tr w:rsidR="009123FC" w:rsidRPr="008B1BD3" w14:paraId="4B04133A" w14:textId="77777777" w:rsidTr="00C0080D">
        <w:tc>
          <w:tcPr>
            <w:tcW w:w="1350" w:type="dxa"/>
          </w:tcPr>
          <w:p w14:paraId="4A3BE189"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es-ES_tradnl"/>
              </w:rPr>
            </w:pPr>
            <w:r w:rsidRPr="008B1BD3">
              <w:rPr>
                <w:color w:val="000000"/>
                <w:szCs w:val="22"/>
                <w:lang w:val="es-ES_tradnl"/>
              </w:rPr>
              <w:t>h</w:t>
            </w:r>
          </w:p>
        </w:tc>
        <w:tc>
          <w:tcPr>
            <w:tcW w:w="8176" w:type="dxa"/>
          </w:tcPr>
          <w:p w14:paraId="7648341C" w14:textId="77777777" w:rsidR="009123FC" w:rsidRPr="008B1BD3" w:rsidRDefault="00BC60F2" w:rsidP="007E5756">
            <w:pPr>
              <w:tabs>
                <w:tab w:val="left" w:pos="624"/>
                <w:tab w:val="left" w:pos="1247"/>
                <w:tab w:val="left" w:pos="1871"/>
                <w:tab w:val="left" w:pos="2495"/>
              </w:tabs>
              <w:spacing w:before="40" w:after="40"/>
              <w:rPr>
                <w:color w:val="000000"/>
                <w:szCs w:val="22"/>
                <w:lang w:val="es-ES_tradnl"/>
              </w:rPr>
            </w:pPr>
            <w:proofErr w:type="spellStart"/>
            <w:r>
              <w:rPr>
                <w:color w:val="000000"/>
                <w:szCs w:val="22"/>
                <w:lang w:val="es-ES_tradnl"/>
              </w:rPr>
              <w:t>H</w:t>
            </w:r>
            <w:r w:rsidR="009123FC" w:rsidRPr="008B1BD3">
              <w:rPr>
                <w:color w:val="000000"/>
                <w:szCs w:val="22"/>
                <w:lang w:val="es-ES_tradnl"/>
              </w:rPr>
              <w:t>our</w:t>
            </w:r>
            <w:proofErr w:type="spellEnd"/>
          </w:p>
        </w:tc>
      </w:tr>
      <w:tr w:rsidR="009123FC" w:rsidRPr="008B1BD3" w14:paraId="539DECD9" w14:textId="77777777" w:rsidTr="00C0080D">
        <w:tc>
          <w:tcPr>
            <w:tcW w:w="1350" w:type="dxa"/>
          </w:tcPr>
          <w:p w14:paraId="7662780D"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es-ES_tradnl"/>
              </w:rPr>
            </w:pPr>
            <w:r w:rsidRPr="008B1BD3">
              <w:rPr>
                <w:color w:val="000000"/>
                <w:szCs w:val="22"/>
                <w:lang w:val="es-ES_tradnl"/>
              </w:rPr>
              <w:t>ha</w:t>
            </w:r>
          </w:p>
        </w:tc>
        <w:tc>
          <w:tcPr>
            <w:tcW w:w="8176" w:type="dxa"/>
          </w:tcPr>
          <w:p w14:paraId="3AA47EB6" w14:textId="77777777" w:rsidR="009123FC" w:rsidRPr="008B1BD3" w:rsidRDefault="00BC60F2" w:rsidP="007E5756">
            <w:pPr>
              <w:tabs>
                <w:tab w:val="left" w:pos="624"/>
                <w:tab w:val="left" w:pos="1247"/>
                <w:tab w:val="left" w:pos="1871"/>
                <w:tab w:val="left" w:pos="2495"/>
              </w:tabs>
              <w:spacing w:before="40" w:after="40"/>
              <w:rPr>
                <w:color w:val="000000"/>
                <w:szCs w:val="22"/>
                <w:lang w:val="es-ES_tradnl"/>
              </w:rPr>
            </w:pPr>
            <w:proofErr w:type="spellStart"/>
            <w:r>
              <w:rPr>
                <w:color w:val="000000"/>
                <w:szCs w:val="22"/>
                <w:lang w:val="es-ES_tradnl"/>
              </w:rPr>
              <w:t>H</w:t>
            </w:r>
            <w:r w:rsidR="009123FC" w:rsidRPr="008B1BD3">
              <w:rPr>
                <w:color w:val="000000"/>
                <w:szCs w:val="22"/>
                <w:lang w:val="es-ES_tradnl"/>
              </w:rPr>
              <w:t>ectare</w:t>
            </w:r>
            <w:proofErr w:type="spellEnd"/>
          </w:p>
        </w:tc>
      </w:tr>
      <w:tr w:rsidR="009123FC" w:rsidRPr="008B1BD3" w14:paraId="0845F41E" w14:textId="77777777" w:rsidTr="00C0080D">
        <w:tc>
          <w:tcPr>
            <w:tcW w:w="1350" w:type="dxa"/>
          </w:tcPr>
          <w:p w14:paraId="6C942DC6"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es-ES_tradnl"/>
              </w:rPr>
            </w:pPr>
            <w:proofErr w:type="spellStart"/>
            <w:r w:rsidRPr="008B1BD3">
              <w:rPr>
                <w:color w:val="000000"/>
                <w:szCs w:val="22"/>
                <w:lang w:val="es-ES_tradnl"/>
              </w:rPr>
              <w:t>i.m</w:t>
            </w:r>
            <w:proofErr w:type="spellEnd"/>
            <w:r w:rsidRPr="008B1BD3">
              <w:rPr>
                <w:color w:val="000000"/>
                <w:szCs w:val="22"/>
                <w:lang w:val="es-ES_tradnl"/>
              </w:rPr>
              <w:t>.</w:t>
            </w:r>
          </w:p>
        </w:tc>
        <w:tc>
          <w:tcPr>
            <w:tcW w:w="8176" w:type="dxa"/>
          </w:tcPr>
          <w:p w14:paraId="0BAD092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I</w:t>
            </w:r>
            <w:r w:rsidR="009123FC" w:rsidRPr="008B1BD3">
              <w:rPr>
                <w:color w:val="000000"/>
                <w:szCs w:val="22"/>
              </w:rPr>
              <w:t>ntramuscular</w:t>
            </w:r>
          </w:p>
        </w:tc>
      </w:tr>
      <w:tr w:rsidR="009123FC" w:rsidRPr="008B1BD3" w14:paraId="141FEBA9" w14:textId="77777777" w:rsidTr="00C0080D">
        <w:tc>
          <w:tcPr>
            <w:tcW w:w="1350" w:type="dxa"/>
          </w:tcPr>
          <w:p w14:paraId="7EB2E488"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i.p.</w:t>
            </w:r>
            <w:proofErr w:type="spellEnd"/>
          </w:p>
        </w:tc>
        <w:tc>
          <w:tcPr>
            <w:tcW w:w="8176" w:type="dxa"/>
          </w:tcPr>
          <w:p w14:paraId="2FF63A1B"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I</w:t>
            </w:r>
            <w:r w:rsidR="009123FC" w:rsidRPr="008B1BD3">
              <w:rPr>
                <w:color w:val="000000"/>
                <w:szCs w:val="22"/>
              </w:rPr>
              <w:t>ntraperitoneal</w:t>
            </w:r>
          </w:p>
        </w:tc>
      </w:tr>
      <w:tr w:rsidR="009123FC" w:rsidRPr="008B1BD3" w14:paraId="0A66A167" w14:textId="77777777" w:rsidTr="00C0080D">
        <w:tc>
          <w:tcPr>
            <w:tcW w:w="1350" w:type="dxa"/>
          </w:tcPr>
          <w:p w14:paraId="27A081AC"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smartTag w:uri="urn:schemas-microsoft-com:office:smarttags" w:element="stockticker">
              <w:r w:rsidRPr="008B1BD3">
                <w:rPr>
                  <w:color w:val="000000"/>
                  <w:szCs w:val="22"/>
                </w:rPr>
                <w:t>IARC</w:t>
              </w:r>
            </w:smartTag>
          </w:p>
        </w:tc>
        <w:tc>
          <w:tcPr>
            <w:tcW w:w="8176" w:type="dxa"/>
          </w:tcPr>
          <w:p w14:paraId="539B5DB4"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 xml:space="preserve">International Agency for Research on Cancer </w:t>
            </w:r>
          </w:p>
        </w:tc>
      </w:tr>
      <w:tr w:rsidR="009123FC" w:rsidRPr="008B1BD3" w14:paraId="206EFEBF" w14:textId="77777777" w:rsidTr="00C0080D">
        <w:tc>
          <w:tcPr>
            <w:tcW w:w="1350" w:type="dxa"/>
          </w:tcPr>
          <w:p w14:paraId="1E4AAC2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IC</w:t>
            </w:r>
            <w:r w:rsidRPr="008B1BD3">
              <w:rPr>
                <w:color w:val="000000"/>
                <w:szCs w:val="22"/>
                <w:vertAlign w:val="subscript"/>
              </w:rPr>
              <w:t>50</w:t>
            </w:r>
          </w:p>
        </w:tc>
        <w:tc>
          <w:tcPr>
            <w:tcW w:w="8176" w:type="dxa"/>
          </w:tcPr>
          <w:p w14:paraId="31BC50A8"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rPr>
              <w:t>M</w:t>
            </w:r>
            <w:r w:rsidR="009123FC">
              <w:rPr>
                <w:color w:val="000000"/>
              </w:rPr>
              <w:t>edian inhibitory concentration</w:t>
            </w:r>
          </w:p>
        </w:tc>
      </w:tr>
      <w:tr w:rsidR="009123FC" w:rsidRPr="008B1BD3" w14:paraId="6A0704AA" w14:textId="77777777" w:rsidTr="00C0080D">
        <w:tc>
          <w:tcPr>
            <w:tcW w:w="1350" w:type="dxa"/>
          </w:tcPr>
          <w:p w14:paraId="5D2FA453"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ILO</w:t>
            </w:r>
          </w:p>
        </w:tc>
        <w:tc>
          <w:tcPr>
            <w:tcW w:w="8176" w:type="dxa"/>
          </w:tcPr>
          <w:p w14:paraId="07BFF42D"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International Labour Organization</w:t>
            </w:r>
          </w:p>
        </w:tc>
      </w:tr>
      <w:tr w:rsidR="009123FC" w:rsidRPr="008B1BD3" w14:paraId="5F02C249" w14:textId="77777777" w:rsidTr="00C0080D">
        <w:tc>
          <w:tcPr>
            <w:tcW w:w="1350" w:type="dxa"/>
          </w:tcPr>
          <w:p w14:paraId="2A4ACEF1"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IPCS</w:t>
            </w:r>
          </w:p>
        </w:tc>
        <w:tc>
          <w:tcPr>
            <w:tcW w:w="8176" w:type="dxa"/>
          </w:tcPr>
          <w:p w14:paraId="12F1BD95"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International Programme on Chemical Safety</w:t>
            </w:r>
          </w:p>
        </w:tc>
      </w:tr>
      <w:tr w:rsidR="009123FC" w:rsidRPr="008B1BD3" w14:paraId="294EB67B" w14:textId="77777777" w:rsidTr="00C0080D">
        <w:tc>
          <w:tcPr>
            <w:tcW w:w="1350" w:type="dxa"/>
          </w:tcPr>
          <w:p w14:paraId="07E45D7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IPM</w:t>
            </w:r>
          </w:p>
        </w:tc>
        <w:tc>
          <w:tcPr>
            <w:tcW w:w="8176" w:type="dxa"/>
          </w:tcPr>
          <w:p w14:paraId="5EE243C5" w14:textId="77777777" w:rsidR="009123FC" w:rsidRPr="008B1BD3" w:rsidRDefault="009123FC" w:rsidP="007E5756">
            <w:pPr>
              <w:tabs>
                <w:tab w:val="left" w:pos="624"/>
                <w:tab w:val="left" w:pos="1247"/>
                <w:tab w:val="left" w:pos="1871"/>
                <w:tab w:val="left" w:pos="2495"/>
              </w:tabs>
              <w:spacing w:before="40" w:after="40"/>
              <w:rPr>
                <w:color w:val="000000"/>
                <w:szCs w:val="22"/>
              </w:rPr>
            </w:pPr>
            <w:r>
              <w:rPr>
                <w:color w:val="000000"/>
                <w:szCs w:val="22"/>
              </w:rPr>
              <w:t>Integrated Pest Management</w:t>
            </w:r>
          </w:p>
        </w:tc>
      </w:tr>
      <w:tr w:rsidR="009123FC" w:rsidRPr="008B1BD3" w14:paraId="5E3C5BD5" w14:textId="77777777" w:rsidTr="00C0080D">
        <w:tc>
          <w:tcPr>
            <w:tcW w:w="1350" w:type="dxa"/>
          </w:tcPr>
          <w:p w14:paraId="4BBB6553"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IUPAC</w:t>
            </w:r>
          </w:p>
        </w:tc>
        <w:tc>
          <w:tcPr>
            <w:tcW w:w="8176" w:type="dxa"/>
          </w:tcPr>
          <w:p w14:paraId="6F2AF66B"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International Union of Pure and Applied Chemistry</w:t>
            </w:r>
          </w:p>
        </w:tc>
      </w:tr>
      <w:tr w:rsidR="009123FC" w:rsidRPr="008B1BD3" w14:paraId="361A8273" w14:textId="77777777" w:rsidTr="00C0080D">
        <w:tc>
          <w:tcPr>
            <w:tcW w:w="1350" w:type="dxa"/>
          </w:tcPr>
          <w:p w14:paraId="4C9BE90C"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JMPR</w:t>
            </w:r>
          </w:p>
        </w:tc>
        <w:tc>
          <w:tcPr>
            <w:tcW w:w="8176" w:type="dxa"/>
          </w:tcPr>
          <w:p w14:paraId="14485611"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Joint FAO/WHO Meeting on Pesticide Residues (Joint Meeting of the FAO Panel of Experts on Pesticide Residues in Food and the Environment and a WHO Expert Group on Pesticide Residues)</w:t>
            </w:r>
          </w:p>
        </w:tc>
      </w:tr>
      <w:tr w:rsidR="009123FC" w:rsidRPr="008B1BD3" w14:paraId="4E9534D7" w14:textId="77777777" w:rsidTr="00C0080D">
        <w:tc>
          <w:tcPr>
            <w:tcW w:w="1350" w:type="dxa"/>
          </w:tcPr>
          <w:p w14:paraId="320B3910"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kg</w:t>
            </w:r>
          </w:p>
        </w:tc>
        <w:tc>
          <w:tcPr>
            <w:tcW w:w="8176" w:type="dxa"/>
          </w:tcPr>
          <w:p w14:paraId="7398F8F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K</w:t>
            </w:r>
            <w:r w:rsidR="009123FC" w:rsidRPr="008B1BD3">
              <w:rPr>
                <w:color w:val="000000"/>
                <w:szCs w:val="22"/>
              </w:rPr>
              <w:t>ilogram</w:t>
            </w:r>
          </w:p>
        </w:tc>
      </w:tr>
      <w:tr w:rsidR="009123FC" w:rsidRPr="008B1BD3" w14:paraId="1B740771" w14:textId="77777777" w:rsidTr="00C0080D">
        <w:tc>
          <w:tcPr>
            <w:tcW w:w="1350" w:type="dxa"/>
          </w:tcPr>
          <w:p w14:paraId="4D18ECA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K</w:t>
            </w:r>
            <w:r w:rsidRPr="00634E5A">
              <w:rPr>
                <w:color w:val="000000"/>
                <w:szCs w:val="22"/>
              </w:rPr>
              <w:t>oc</w:t>
            </w:r>
            <w:proofErr w:type="spellEnd"/>
          </w:p>
        </w:tc>
        <w:tc>
          <w:tcPr>
            <w:tcW w:w="8176" w:type="dxa"/>
          </w:tcPr>
          <w:p w14:paraId="503BA69F" w14:textId="77777777" w:rsidR="009123FC" w:rsidRPr="00634E5A" w:rsidRDefault="00BC60F2" w:rsidP="007E5756">
            <w:pPr>
              <w:tabs>
                <w:tab w:val="left" w:pos="624"/>
                <w:tab w:val="left" w:pos="1247"/>
                <w:tab w:val="left" w:pos="1871"/>
                <w:tab w:val="left" w:pos="2495"/>
              </w:tabs>
              <w:spacing w:before="40" w:after="40"/>
              <w:rPr>
                <w:color w:val="000000"/>
                <w:szCs w:val="22"/>
              </w:rPr>
            </w:pPr>
            <w:r>
              <w:rPr>
                <w:color w:val="000000"/>
                <w:szCs w:val="22"/>
              </w:rPr>
              <w:t>S</w:t>
            </w:r>
            <w:r w:rsidR="009123FC" w:rsidRPr="00634E5A">
              <w:rPr>
                <w:color w:val="000000"/>
                <w:szCs w:val="22"/>
              </w:rPr>
              <w:t>oil organic partition coefficient.</w:t>
            </w:r>
          </w:p>
        </w:tc>
      </w:tr>
      <w:tr w:rsidR="009123FC" w:rsidRPr="008B1BD3" w14:paraId="1D08F5A6" w14:textId="77777777" w:rsidTr="00C0080D">
        <w:tc>
          <w:tcPr>
            <w:tcW w:w="1350" w:type="dxa"/>
          </w:tcPr>
          <w:p w14:paraId="4D4E402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proofErr w:type="spellStart"/>
            <w:r>
              <w:rPr>
                <w:color w:val="000000"/>
                <w:szCs w:val="22"/>
              </w:rPr>
              <w:t>Kow</w:t>
            </w:r>
            <w:proofErr w:type="spellEnd"/>
          </w:p>
        </w:tc>
        <w:tc>
          <w:tcPr>
            <w:tcW w:w="8176" w:type="dxa"/>
          </w:tcPr>
          <w:p w14:paraId="4E012583" w14:textId="77777777" w:rsidR="009123FC" w:rsidRPr="00634E5A" w:rsidRDefault="00BC60F2" w:rsidP="007E5756">
            <w:pPr>
              <w:tabs>
                <w:tab w:val="left" w:pos="624"/>
                <w:tab w:val="left" w:pos="1247"/>
                <w:tab w:val="left" w:pos="1871"/>
                <w:tab w:val="left" w:pos="2495"/>
              </w:tabs>
              <w:spacing w:before="40" w:after="40"/>
              <w:rPr>
                <w:color w:val="000000"/>
                <w:szCs w:val="22"/>
              </w:rPr>
            </w:pPr>
            <w:r>
              <w:rPr>
                <w:color w:val="000000"/>
                <w:szCs w:val="22"/>
              </w:rPr>
              <w:t>O</w:t>
            </w:r>
            <w:r w:rsidR="009123FC" w:rsidRPr="00634E5A">
              <w:rPr>
                <w:color w:val="000000"/>
                <w:szCs w:val="22"/>
              </w:rPr>
              <w:t>ctanol–water partition coefficient</w:t>
            </w:r>
          </w:p>
        </w:tc>
      </w:tr>
      <w:tr w:rsidR="009123FC" w:rsidRPr="008B1BD3" w14:paraId="7C6452AF" w14:textId="77777777" w:rsidTr="00C0080D">
        <w:tc>
          <w:tcPr>
            <w:tcW w:w="1350" w:type="dxa"/>
          </w:tcPr>
          <w:p w14:paraId="7BC499B9"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kPa</w:t>
            </w:r>
          </w:p>
        </w:tc>
        <w:tc>
          <w:tcPr>
            <w:tcW w:w="8176" w:type="dxa"/>
          </w:tcPr>
          <w:p w14:paraId="404A45CB"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K</w:t>
            </w:r>
            <w:r w:rsidR="009123FC">
              <w:rPr>
                <w:color w:val="000000"/>
                <w:szCs w:val="22"/>
              </w:rPr>
              <w:t>ilopascal</w:t>
            </w:r>
          </w:p>
        </w:tc>
      </w:tr>
      <w:tr w:rsidR="009123FC" w:rsidRPr="008B1BD3" w14:paraId="61EF91BA" w14:textId="77777777" w:rsidTr="00C0080D">
        <w:tc>
          <w:tcPr>
            <w:tcW w:w="1350" w:type="dxa"/>
          </w:tcPr>
          <w:p w14:paraId="2FC510E4"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L</w:t>
            </w:r>
          </w:p>
        </w:tc>
        <w:tc>
          <w:tcPr>
            <w:tcW w:w="8176" w:type="dxa"/>
          </w:tcPr>
          <w:p w14:paraId="3625C47C"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L</w:t>
            </w:r>
            <w:r w:rsidR="009123FC" w:rsidRPr="008B1BD3">
              <w:rPr>
                <w:color w:val="000000"/>
                <w:szCs w:val="22"/>
              </w:rPr>
              <w:t>itre</w:t>
            </w:r>
          </w:p>
        </w:tc>
      </w:tr>
      <w:tr w:rsidR="009123FC" w:rsidRPr="008B1BD3" w14:paraId="68F20399" w14:textId="77777777" w:rsidTr="00C0080D">
        <w:tc>
          <w:tcPr>
            <w:tcW w:w="1350" w:type="dxa"/>
          </w:tcPr>
          <w:p w14:paraId="3EB66DC1"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LC</w:t>
            </w:r>
            <w:r w:rsidRPr="008B1BD3">
              <w:rPr>
                <w:color w:val="000000"/>
                <w:szCs w:val="22"/>
                <w:vertAlign w:val="subscript"/>
              </w:rPr>
              <w:t>50</w:t>
            </w:r>
            <w:r w:rsidRPr="008B1BD3">
              <w:rPr>
                <w:color w:val="000000"/>
                <w:szCs w:val="22"/>
              </w:rPr>
              <w:t xml:space="preserve"> </w:t>
            </w:r>
          </w:p>
        </w:tc>
        <w:tc>
          <w:tcPr>
            <w:tcW w:w="8176" w:type="dxa"/>
          </w:tcPr>
          <w:p w14:paraId="779D4F24"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Pr>
                <w:color w:val="000000"/>
                <w:szCs w:val="22"/>
              </w:rPr>
              <w:t xml:space="preserve">edian </w:t>
            </w:r>
            <w:r w:rsidR="009123FC" w:rsidRPr="008B1BD3">
              <w:rPr>
                <w:color w:val="000000"/>
                <w:szCs w:val="22"/>
              </w:rPr>
              <w:t>lethal concentration</w:t>
            </w:r>
          </w:p>
        </w:tc>
      </w:tr>
      <w:tr w:rsidR="009123FC" w:rsidRPr="008B1BD3" w14:paraId="4937E6EF" w14:textId="77777777" w:rsidTr="00C0080D">
        <w:tc>
          <w:tcPr>
            <w:tcW w:w="1350" w:type="dxa"/>
          </w:tcPr>
          <w:p w14:paraId="2780F799"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LD</w:t>
            </w:r>
            <w:r w:rsidRPr="008B1BD3">
              <w:rPr>
                <w:color w:val="000000"/>
                <w:szCs w:val="22"/>
                <w:vertAlign w:val="subscript"/>
              </w:rPr>
              <w:t>50</w:t>
            </w:r>
          </w:p>
        </w:tc>
        <w:tc>
          <w:tcPr>
            <w:tcW w:w="8176" w:type="dxa"/>
          </w:tcPr>
          <w:p w14:paraId="19A77B75"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Pr>
                <w:color w:val="000000"/>
                <w:szCs w:val="22"/>
              </w:rPr>
              <w:t xml:space="preserve">edian </w:t>
            </w:r>
            <w:r w:rsidR="009123FC" w:rsidRPr="008B1BD3">
              <w:rPr>
                <w:color w:val="000000"/>
                <w:szCs w:val="22"/>
              </w:rPr>
              <w:t>lethal dose</w:t>
            </w:r>
          </w:p>
        </w:tc>
      </w:tr>
      <w:tr w:rsidR="009123FC" w:rsidRPr="008B1BD3" w14:paraId="32A0FF8E" w14:textId="77777777" w:rsidTr="00C0080D">
        <w:tc>
          <w:tcPr>
            <w:tcW w:w="1350" w:type="dxa"/>
          </w:tcPr>
          <w:p w14:paraId="00A337D8"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lastRenderedPageBreak/>
              <w:t>LOAEL</w:t>
            </w:r>
          </w:p>
        </w:tc>
        <w:tc>
          <w:tcPr>
            <w:tcW w:w="8176" w:type="dxa"/>
          </w:tcPr>
          <w:p w14:paraId="10A204DB"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lowest</w:t>
            </w:r>
            <w:r>
              <w:rPr>
                <w:color w:val="000000"/>
                <w:szCs w:val="22"/>
              </w:rPr>
              <w:t>-</w:t>
            </w:r>
            <w:r w:rsidRPr="008B1BD3">
              <w:rPr>
                <w:color w:val="000000"/>
                <w:szCs w:val="22"/>
              </w:rPr>
              <w:t>observed</w:t>
            </w:r>
            <w:r>
              <w:rPr>
                <w:color w:val="000000"/>
                <w:szCs w:val="22"/>
              </w:rPr>
              <w:t>-</w:t>
            </w:r>
            <w:r w:rsidRPr="008B1BD3">
              <w:rPr>
                <w:color w:val="000000"/>
                <w:szCs w:val="22"/>
              </w:rPr>
              <w:t>adverse</w:t>
            </w:r>
            <w:r>
              <w:rPr>
                <w:color w:val="000000"/>
                <w:szCs w:val="22"/>
              </w:rPr>
              <w:t>-</w:t>
            </w:r>
            <w:r w:rsidRPr="008B1BD3">
              <w:rPr>
                <w:color w:val="000000"/>
                <w:szCs w:val="22"/>
              </w:rPr>
              <w:t>effect level</w:t>
            </w:r>
          </w:p>
        </w:tc>
      </w:tr>
      <w:tr w:rsidR="009123FC" w:rsidRPr="008B1BD3" w14:paraId="0273E09A" w14:textId="77777777" w:rsidTr="00C0080D">
        <w:tc>
          <w:tcPr>
            <w:tcW w:w="1350" w:type="dxa"/>
          </w:tcPr>
          <w:p w14:paraId="6578C031"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LOEL</w:t>
            </w:r>
          </w:p>
        </w:tc>
        <w:tc>
          <w:tcPr>
            <w:tcW w:w="8176" w:type="dxa"/>
          </w:tcPr>
          <w:p w14:paraId="6471F293"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Lowest</w:t>
            </w:r>
            <w:r>
              <w:rPr>
                <w:color w:val="000000"/>
                <w:szCs w:val="22"/>
              </w:rPr>
              <w:t>-</w:t>
            </w:r>
            <w:r w:rsidRPr="008B1BD3">
              <w:rPr>
                <w:color w:val="000000"/>
                <w:szCs w:val="22"/>
              </w:rPr>
              <w:t>observed</w:t>
            </w:r>
            <w:r>
              <w:rPr>
                <w:color w:val="000000"/>
                <w:szCs w:val="22"/>
              </w:rPr>
              <w:t>-</w:t>
            </w:r>
            <w:r w:rsidRPr="008B1BD3">
              <w:rPr>
                <w:color w:val="000000"/>
                <w:szCs w:val="22"/>
              </w:rPr>
              <w:t>effect level</w:t>
            </w:r>
          </w:p>
        </w:tc>
      </w:tr>
      <w:tr w:rsidR="009123FC" w:rsidRPr="008B1BD3" w14:paraId="7148049A" w14:textId="77777777" w:rsidTr="00C0080D">
        <w:tc>
          <w:tcPr>
            <w:tcW w:w="1350" w:type="dxa"/>
          </w:tcPr>
          <w:p w14:paraId="327C165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it-IT"/>
              </w:rPr>
            </w:pPr>
            <w:r w:rsidRPr="008B1BD3">
              <w:rPr>
                <w:color w:val="000000"/>
                <w:szCs w:val="22"/>
                <w:lang w:val="it-IT"/>
              </w:rPr>
              <w:t>m</w:t>
            </w:r>
          </w:p>
        </w:tc>
        <w:tc>
          <w:tcPr>
            <w:tcW w:w="8176" w:type="dxa"/>
          </w:tcPr>
          <w:p w14:paraId="5D71C965" w14:textId="77777777" w:rsidR="009123FC" w:rsidRPr="008B1BD3" w:rsidRDefault="00BC60F2" w:rsidP="007E5756">
            <w:pPr>
              <w:tabs>
                <w:tab w:val="left" w:pos="624"/>
                <w:tab w:val="left" w:pos="1247"/>
                <w:tab w:val="left" w:pos="1871"/>
                <w:tab w:val="left" w:pos="2495"/>
              </w:tabs>
              <w:spacing w:before="40" w:after="40"/>
              <w:rPr>
                <w:color w:val="000000"/>
                <w:szCs w:val="22"/>
                <w:lang w:val="it-IT"/>
              </w:rPr>
            </w:pPr>
            <w:r>
              <w:rPr>
                <w:color w:val="000000"/>
                <w:szCs w:val="22"/>
                <w:lang w:val="it-IT"/>
              </w:rPr>
              <w:t>M</w:t>
            </w:r>
            <w:r w:rsidR="009123FC" w:rsidRPr="008B1BD3">
              <w:rPr>
                <w:color w:val="000000"/>
                <w:szCs w:val="22"/>
                <w:lang w:val="it-IT"/>
              </w:rPr>
              <w:t>etre</w:t>
            </w:r>
          </w:p>
        </w:tc>
      </w:tr>
      <w:tr w:rsidR="009123FC" w:rsidRPr="008B1BD3" w14:paraId="781B3B83" w14:textId="77777777" w:rsidTr="00C0080D">
        <w:tc>
          <w:tcPr>
            <w:tcW w:w="1350" w:type="dxa"/>
          </w:tcPr>
          <w:p w14:paraId="72E56AC6"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it-IT"/>
              </w:rPr>
            </w:pPr>
            <w:r w:rsidRPr="008B1BD3">
              <w:rPr>
                <w:color w:val="000000"/>
                <w:szCs w:val="22"/>
                <w:lang w:val="it-IT"/>
              </w:rPr>
              <w:t>m.p.</w:t>
            </w:r>
          </w:p>
        </w:tc>
        <w:tc>
          <w:tcPr>
            <w:tcW w:w="8176" w:type="dxa"/>
          </w:tcPr>
          <w:p w14:paraId="663E1E3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sidRPr="008B1BD3">
              <w:rPr>
                <w:color w:val="000000"/>
                <w:szCs w:val="22"/>
              </w:rPr>
              <w:t>elting point</w:t>
            </w:r>
          </w:p>
        </w:tc>
      </w:tr>
      <w:tr w:rsidR="009123FC" w:rsidRPr="008B1BD3" w14:paraId="29075C2D" w14:textId="77777777" w:rsidTr="00C0080D">
        <w:tc>
          <w:tcPr>
            <w:tcW w:w="1350" w:type="dxa"/>
          </w:tcPr>
          <w:p w14:paraId="47C70E9E"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mg</w:t>
            </w:r>
          </w:p>
        </w:tc>
        <w:tc>
          <w:tcPr>
            <w:tcW w:w="8176" w:type="dxa"/>
          </w:tcPr>
          <w:p w14:paraId="3A88B152"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sidRPr="008B1BD3">
              <w:rPr>
                <w:color w:val="000000"/>
                <w:szCs w:val="22"/>
              </w:rPr>
              <w:t>illigram</w:t>
            </w:r>
          </w:p>
        </w:tc>
      </w:tr>
      <w:tr w:rsidR="009123FC" w:rsidRPr="008B1BD3" w14:paraId="4FA1AF64" w14:textId="77777777" w:rsidTr="00C0080D">
        <w:tc>
          <w:tcPr>
            <w:tcW w:w="1350" w:type="dxa"/>
          </w:tcPr>
          <w:p w14:paraId="1A67E578"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ml</w:t>
            </w:r>
          </w:p>
        </w:tc>
        <w:tc>
          <w:tcPr>
            <w:tcW w:w="8176" w:type="dxa"/>
          </w:tcPr>
          <w:p w14:paraId="1EDAEC23" w14:textId="77777777" w:rsidR="009123FC" w:rsidRPr="008B1BD3" w:rsidRDefault="00BC60F2" w:rsidP="007E5756">
            <w:pPr>
              <w:tabs>
                <w:tab w:val="left" w:pos="624"/>
                <w:tab w:val="left" w:pos="1247"/>
                <w:tab w:val="left" w:pos="1871"/>
                <w:tab w:val="left" w:pos="2495"/>
              </w:tabs>
              <w:spacing w:before="40" w:after="40"/>
              <w:rPr>
                <w:color w:val="000000"/>
                <w:szCs w:val="22"/>
                <w:lang w:val="fr-FR"/>
              </w:rPr>
            </w:pPr>
            <w:r>
              <w:rPr>
                <w:color w:val="000000"/>
                <w:szCs w:val="22"/>
                <w:lang w:val="fr-FR"/>
              </w:rPr>
              <w:t>M</w:t>
            </w:r>
            <w:r w:rsidR="009123FC" w:rsidRPr="008B1BD3">
              <w:rPr>
                <w:color w:val="000000"/>
                <w:szCs w:val="22"/>
                <w:lang w:val="fr-FR"/>
              </w:rPr>
              <w:t>illilitre</w:t>
            </w:r>
          </w:p>
        </w:tc>
      </w:tr>
      <w:tr w:rsidR="009123FC" w:rsidRPr="008B1BD3" w14:paraId="4793EDCD" w14:textId="77777777" w:rsidTr="00C0080D">
        <w:tc>
          <w:tcPr>
            <w:tcW w:w="1350" w:type="dxa"/>
          </w:tcPr>
          <w:p w14:paraId="08D25D68"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lang w:val="fr-FR"/>
              </w:rPr>
            </w:pPr>
            <w:proofErr w:type="spellStart"/>
            <w:proofErr w:type="gramStart"/>
            <w:r w:rsidRPr="008B1BD3">
              <w:rPr>
                <w:color w:val="000000"/>
                <w:szCs w:val="22"/>
                <w:lang w:val="fr-FR"/>
              </w:rPr>
              <w:t>mPa</w:t>
            </w:r>
            <w:proofErr w:type="spellEnd"/>
            <w:proofErr w:type="gramEnd"/>
          </w:p>
        </w:tc>
        <w:tc>
          <w:tcPr>
            <w:tcW w:w="8176" w:type="dxa"/>
          </w:tcPr>
          <w:p w14:paraId="09561C9A" w14:textId="77777777" w:rsidR="009123FC" w:rsidRPr="008B1BD3" w:rsidRDefault="00BC60F2" w:rsidP="007E5756">
            <w:pPr>
              <w:tabs>
                <w:tab w:val="left" w:pos="624"/>
                <w:tab w:val="left" w:pos="1247"/>
                <w:tab w:val="left" w:pos="1871"/>
                <w:tab w:val="left" w:pos="2495"/>
              </w:tabs>
              <w:spacing w:before="40" w:after="40"/>
              <w:rPr>
                <w:color w:val="000000"/>
                <w:szCs w:val="22"/>
                <w:lang w:val="fr-FR"/>
              </w:rPr>
            </w:pPr>
            <w:r>
              <w:rPr>
                <w:color w:val="000000"/>
                <w:szCs w:val="22"/>
                <w:lang w:val="fr-FR"/>
              </w:rPr>
              <w:t>M</w:t>
            </w:r>
            <w:r w:rsidR="009123FC" w:rsidRPr="008B1BD3">
              <w:rPr>
                <w:color w:val="000000"/>
                <w:szCs w:val="22"/>
                <w:lang w:val="fr-FR"/>
              </w:rPr>
              <w:t>illipascal</w:t>
            </w:r>
          </w:p>
        </w:tc>
      </w:tr>
      <w:tr w:rsidR="009123FC" w:rsidRPr="008B1BD3" w14:paraId="0CE5DD81" w14:textId="77777777" w:rsidTr="00C0080D">
        <w:tc>
          <w:tcPr>
            <w:tcW w:w="1350" w:type="dxa"/>
          </w:tcPr>
          <w:p w14:paraId="1116B19C"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MRL</w:t>
            </w:r>
          </w:p>
        </w:tc>
        <w:tc>
          <w:tcPr>
            <w:tcW w:w="8176" w:type="dxa"/>
          </w:tcPr>
          <w:p w14:paraId="2EA862DF" w14:textId="77777777" w:rsidR="009123FC" w:rsidRPr="008B1BD3" w:rsidDel="004C4261" w:rsidRDefault="00BC60F2" w:rsidP="007E5756">
            <w:pPr>
              <w:tabs>
                <w:tab w:val="left" w:pos="624"/>
                <w:tab w:val="left" w:pos="1247"/>
                <w:tab w:val="left" w:pos="1871"/>
                <w:tab w:val="left" w:pos="2495"/>
              </w:tabs>
              <w:spacing w:before="40" w:after="40"/>
              <w:rPr>
                <w:color w:val="000000"/>
                <w:szCs w:val="22"/>
              </w:rPr>
            </w:pPr>
            <w:r>
              <w:rPr>
                <w:color w:val="000000"/>
                <w:szCs w:val="22"/>
              </w:rPr>
              <w:t>M</w:t>
            </w:r>
            <w:r w:rsidR="009123FC">
              <w:rPr>
                <w:color w:val="000000"/>
                <w:szCs w:val="22"/>
              </w:rPr>
              <w:t>aximum residue limit</w:t>
            </w:r>
          </w:p>
        </w:tc>
      </w:tr>
      <w:tr w:rsidR="009123FC" w:rsidRPr="008B1BD3" w14:paraId="57154235" w14:textId="77777777" w:rsidTr="00C0080D">
        <w:tc>
          <w:tcPr>
            <w:tcW w:w="1350" w:type="dxa"/>
          </w:tcPr>
          <w:p w14:paraId="696F6531"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smartTag w:uri="urn:schemas-microsoft-com:office:smarttags" w:element="stockticker">
              <w:r w:rsidRPr="008B1BD3">
                <w:rPr>
                  <w:color w:val="000000"/>
                  <w:szCs w:val="22"/>
                </w:rPr>
                <w:t>MTD</w:t>
              </w:r>
            </w:smartTag>
          </w:p>
        </w:tc>
        <w:tc>
          <w:tcPr>
            <w:tcW w:w="8176" w:type="dxa"/>
          </w:tcPr>
          <w:p w14:paraId="718A0601" w14:textId="77777777" w:rsidR="009123FC" w:rsidRPr="008B1BD3" w:rsidRDefault="009123FC" w:rsidP="007E5756">
            <w:pPr>
              <w:tabs>
                <w:tab w:val="left" w:pos="624"/>
                <w:tab w:val="left" w:pos="1247"/>
                <w:tab w:val="left" w:pos="1871"/>
                <w:tab w:val="left" w:pos="2495"/>
              </w:tabs>
              <w:spacing w:before="40" w:after="40"/>
              <w:rPr>
                <w:color w:val="000000"/>
                <w:szCs w:val="22"/>
              </w:rPr>
            </w:pPr>
            <w:r>
              <w:rPr>
                <w:color w:val="000000"/>
                <w:szCs w:val="22"/>
              </w:rPr>
              <w:t>M</w:t>
            </w:r>
            <w:r w:rsidRPr="008B1BD3">
              <w:rPr>
                <w:color w:val="000000"/>
                <w:szCs w:val="22"/>
              </w:rPr>
              <w:t xml:space="preserve">aximum </w:t>
            </w:r>
            <w:r>
              <w:rPr>
                <w:color w:val="000000"/>
                <w:szCs w:val="22"/>
              </w:rPr>
              <w:t>T</w:t>
            </w:r>
            <w:r w:rsidRPr="008B1BD3">
              <w:rPr>
                <w:color w:val="000000"/>
                <w:szCs w:val="22"/>
              </w:rPr>
              <w:t xml:space="preserve">olerated </w:t>
            </w:r>
            <w:r>
              <w:rPr>
                <w:color w:val="000000"/>
                <w:szCs w:val="22"/>
              </w:rPr>
              <w:t>D</w:t>
            </w:r>
            <w:r w:rsidRPr="008B1BD3">
              <w:rPr>
                <w:color w:val="000000"/>
                <w:szCs w:val="22"/>
              </w:rPr>
              <w:t>ose</w:t>
            </w:r>
          </w:p>
        </w:tc>
      </w:tr>
      <w:tr w:rsidR="009123FC" w:rsidRPr="008B1BD3" w14:paraId="67B03C89" w14:textId="77777777" w:rsidTr="00C0080D">
        <w:tc>
          <w:tcPr>
            <w:tcW w:w="1350" w:type="dxa"/>
          </w:tcPr>
          <w:p w14:paraId="6599D02E"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ng</w:t>
            </w:r>
          </w:p>
        </w:tc>
        <w:tc>
          <w:tcPr>
            <w:tcW w:w="8176" w:type="dxa"/>
          </w:tcPr>
          <w:p w14:paraId="58D46840"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N</w:t>
            </w:r>
            <w:r w:rsidR="009123FC" w:rsidRPr="008B1BD3">
              <w:rPr>
                <w:color w:val="000000"/>
                <w:szCs w:val="22"/>
              </w:rPr>
              <w:t>anogram</w:t>
            </w:r>
          </w:p>
        </w:tc>
      </w:tr>
      <w:tr w:rsidR="009123FC" w:rsidRPr="008B1BD3" w14:paraId="42E3BA74" w14:textId="77777777" w:rsidTr="00C0080D">
        <w:tc>
          <w:tcPr>
            <w:tcW w:w="1350" w:type="dxa"/>
          </w:tcPr>
          <w:p w14:paraId="6F0F3313"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NOAEC</w:t>
            </w:r>
          </w:p>
        </w:tc>
        <w:tc>
          <w:tcPr>
            <w:tcW w:w="8176" w:type="dxa"/>
          </w:tcPr>
          <w:p w14:paraId="352761E7"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N</w:t>
            </w:r>
            <w:r w:rsidR="009123FC">
              <w:rPr>
                <w:color w:val="000000"/>
                <w:szCs w:val="22"/>
              </w:rPr>
              <w:t>o-observed-adverse-effect concentration</w:t>
            </w:r>
          </w:p>
        </w:tc>
      </w:tr>
      <w:tr w:rsidR="009123FC" w:rsidRPr="008B1BD3" w14:paraId="186522CD" w14:textId="77777777" w:rsidTr="00C0080D">
        <w:tc>
          <w:tcPr>
            <w:tcW w:w="1350" w:type="dxa"/>
          </w:tcPr>
          <w:p w14:paraId="3574BE52"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NOAEL</w:t>
            </w:r>
          </w:p>
        </w:tc>
        <w:tc>
          <w:tcPr>
            <w:tcW w:w="8176" w:type="dxa"/>
          </w:tcPr>
          <w:p w14:paraId="5AB622E2"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N</w:t>
            </w:r>
            <w:r w:rsidR="009123FC" w:rsidRPr="008B1BD3">
              <w:rPr>
                <w:color w:val="000000"/>
                <w:szCs w:val="22"/>
              </w:rPr>
              <w:t>o-observed-adverse-effect level</w:t>
            </w:r>
          </w:p>
        </w:tc>
      </w:tr>
      <w:tr w:rsidR="009123FC" w:rsidRPr="008B1BD3" w14:paraId="41E05B14" w14:textId="77777777" w:rsidTr="00C0080D">
        <w:tc>
          <w:tcPr>
            <w:tcW w:w="1350" w:type="dxa"/>
          </w:tcPr>
          <w:p w14:paraId="7AF4DF1F"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Pr>
                <w:color w:val="000000"/>
                <w:szCs w:val="22"/>
              </w:rPr>
              <w:t>NOEC</w:t>
            </w:r>
          </w:p>
        </w:tc>
        <w:tc>
          <w:tcPr>
            <w:tcW w:w="8176" w:type="dxa"/>
          </w:tcPr>
          <w:p w14:paraId="1F20A17F"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N</w:t>
            </w:r>
            <w:r w:rsidR="009123FC">
              <w:rPr>
                <w:color w:val="000000"/>
                <w:szCs w:val="22"/>
              </w:rPr>
              <w:t>o-observed-effect concentration</w:t>
            </w:r>
          </w:p>
        </w:tc>
      </w:tr>
      <w:tr w:rsidR="009123FC" w:rsidRPr="008B1BD3" w14:paraId="3E501BF1" w14:textId="77777777" w:rsidTr="00C0080D">
        <w:tc>
          <w:tcPr>
            <w:tcW w:w="1350" w:type="dxa"/>
          </w:tcPr>
          <w:p w14:paraId="5712F537"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 xml:space="preserve">NOEL </w:t>
            </w:r>
          </w:p>
        </w:tc>
        <w:tc>
          <w:tcPr>
            <w:tcW w:w="8176" w:type="dxa"/>
          </w:tcPr>
          <w:p w14:paraId="0D562EDA" w14:textId="77777777" w:rsidR="009123FC"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N</w:t>
            </w:r>
            <w:r w:rsidR="009123FC" w:rsidRPr="008B1BD3">
              <w:rPr>
                <w:color w:val="000000"/>
                <w:szCs w:val="22"/>
              </w:rPr>
              <w:t>o-observed-effect level</w:t>
            </w:r>
          </w:p>
        </w:tc>
      </w:tr>
      <w:tr w:rsidR="009123FC" w:rsidRPr="008B1BD3" w14:paraId="779266A0" w14:textId="77777777" w:rsidTr="00C0080D">
        <w:tc>
          <w:tcPr>
            <w:tcW w:w="1350" w:type="dxa"/>
          </w:tcPr>
          <w:p w14:paraId="224CAF9D" w14:textId="77777777" w:rsidR="009123FC" w:rsidRPr="008B1BD3" w:rsidRDefault="009123FC"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OECD</w:t>
            </w:r>
          </w:p>
        </w:tc>
        <w:tc>
          <w:tcPr>
            <w:tcW w:w="8176" w:type="dxa"/>
          </w:tcPr>
          <w:p w14:paraId="72F9E350" w14:textId="77777777" w:rsidR="009123FC" w:rsidRPr="008B1BD3" w:rsidRDefault="009123FC" w:rsidP="007E5756">
            <w:pPr>
              <w:tabs>
                <w:tab w:val="left" w:pos="624"/>
                <w:tab w:val="left" w:pos="1247"/>
                <w:tab w:val="left" w:pos="1871"/>
                <w:tab w:val="left" w:pos="2495"/>
              </w:tabs>
              <w:spacing w:before="40" w:after="40"/>
              <w:rPr>
                <w:color w:val="000000"/>
                <w:szCs w:val="22"/>
              </w:rPr>
            </w:pPr>
            <w:r w:rsidRPr="008B1BD3">
              <w:rPr>
                <w:color w:val="000000"/>
                <w:szCs w:val="22"/>
              </w:rPr>
              <w:t xml:space="preserve">Organisation for Economic Co-operation and Development </w:t>
            </w:r>
          </w:p>
        </w:tc>
      </w:tr>
      <w:tr w:rsidR="007E5756" w:rsidRPr="008B1BD3" w14:paraId="30F2E5CA" w14:textId="77777777" w:rsidTr="00C0080D">
        <w:tc>
          <w:tcPr>
            <w:tcW w:w="1350" w:type="dxa"/>
          </w:tcPr>
          <w:p w14:paraId="4677FDFD" w14:textId="77777777" w:rsidR="007E5756" w:rsidRPr="008B1BD3" w:rsidRDefault="007E5756" w:rsidP="007E5756">
            <w:pPr>
              <w:tabs>
                <w:tab w:val="left" w:pos="624"/>
                <w:tab w:val="left" w:pos="1247"/>
                <w:tab w:val="left" w:pos="1871"/>
                <w:tab w:val="left" w:pos="2495"/>
              </w:tabs>
              <w:spacing w:before="40" w:after="40"/>
              <w:ind w:left="176" w:hanging="142"/>
              <w:rPr>
                <w:color w:val="000000"/>
                <w:szCs w:val="22"/>
              </w:rPr>
            </w:pPr>
            <w:r>
              <w:rPr>
                <w:color w:val="000000"/>
                <w:szCs w:val="22"/>
              </w:rPr>
              <w:t>PEC</w:t>
            </w:r>
          </w:p>
        </w:tc>
        <w:tc>
          <w:tcPr>
            <w:tcW w:w="8176" w:type="dxa"/>
          </w:tcPr>
          <w:p w14:paraId="0457A21D" w14:textId="77777777" w:rsidR="007E5756" w:rsidRPr="008B1BD3" w:rsidRDefault="00BC60F2" w:rsidP="007E5756">
            <w:pPr>
              <w:tabs>
                <w:tab w:val="left" w:pos="624"/>
                <w:tab w:val="left" w:pos="1247"/>
                <w:tab w:val="left" w:pos="1871"/>
                <w:tab w:val="left" w:pos="2495"/>
              </w:tabs>
              <w:spacing w:before="40" w:after="40"/>
              <w:rPr>
                <w:color w:val="000000"/>
                <w:szCs w:val="22"/>
              </w:rPr>
            </w:pPr>
            <w:r>
              <w:rPr>
                <w:color w:val="000000"/>
              </w:rPr>
              <w:t>P</w:t>
            </w:r>
            <w:r w:rsidR="007E5756">
              <w:rPr>
                <w:color w:val="000000"/>
              </w:rPr>
              <w:t>redicted environmental concentration</w:t>
            </w:r>
          </w:p>
        </w:tc>
      </w:tr>
      <w:tr w:rsidR="007E5756" w:rsidRPr="008B1BD3" w14:paraId="3D322133" w14:textId="77777777" w:rsidTr="00C0080D">
        <w:tc>
          <w:tcPr>
            <w:tcW w:w="1350" w:type="dxa"/>
          </w:tcPr>
          <w:p w14:paraId="71663326" w14:textId="77777777" w:rsidR="007E5756" w:rsidRPr="008B1BD3" w:rsidRDefault="007E5756"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Pow</w:t>
            </w:r>
          </w:p>
        </w:tc>
        <w:tc>
          <w:tcPr>
            <w:tcW w:w="8176" w:type="dxa"/>
          </w:tcPr>
          <w:p w14:paraId="78C51E8E" w14:textId="77777777" w:rsidR="007E5756"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O</w:t>
            </w:r>
            <w:r w:rsidR="007E5756" w:rsidRPr="008B1BD3">
              <w:rPr>
                <w:color w:val="000000"/>
                <w:szCs w:val="22"/>
              </w:rPr>
              <w:t>ctanol-water partition coefficient</w:t>
            </w:r>
            <w:r w:rsidR="007E5756">
              <w:rPr>
                <w:color w:val="000000"/>
              </w:rPr>
              <w:t xml:space="preserve">, also referred to as </w:t>
            </w:r>
            <w:proofErr w:type="spellStart"/>
            <w:r w:rsidR="007E5756">
              <w:rPr>
                <w:color w:val="000000"/>
              </w:rPr>
              <w:t>Kow</w:t>
            </w:r>
            <w:proofErr w:type="spellEnd"/>
          </w:p>
        </w:tc>
      </w:tr>
      <w:tr w:rsidR="007E5756" w:rsidRPr="008B1BD3" w14:paraId="359DB85F" w14:textId="77777777" w:rsidTr="00C0080D">
        <w:tc>
          <w:tcPr>
            <w:tcW w:w="1350" w:type="dxa"/>
          </w:tcPr>
          <w:p w14:paraId="473085DB" w14:textId="77777777" w:rsidR="007E5756" w:rsidRPr="008B1BD3" w:rsidRDefault="007E5756" w:rsidP="007E5756">
            <w:pPr>
              <w:tabs>
                <w:tab w:val="left" w:pos="624"/>
                <w:tab w:val="left" w:pos="1247"/>
                <w:tab w:val="left" w:pos="1871"/>
                <w:tab w:val="left" w:pos="2495"/>
              </w:tabs>
              <w:spacing w:before="40" w:after="40"/>
              <w:ind w:left="176" w:hanging="142"/>
              <w:rPr>
                <w:color w:val="000000"/>
                <w:szCs w:val="22"/>
              </w:rPr>
            </w:pPr>
            <w:r>
              <w:rPr>
                <w:color w:val="000000"/>
                <w:szCs w:val="22"/>
              </w:rPr>
              <w:t>PPE</w:t>
            </w:r>
          </w:p>
        </w:tc>
        <w:tc>
          <w:tcPr>
            <w:tcW w:w="8176" w:type="dxa"/>
          </w:tcPr>
          <w:p w14:paraId="2B8C04B7" w14:textId="77777777" w:rsidR="007E5756"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P</w:t>
            </w:r>
            <w:r w:rsidR="007E5756">
              <w:rPr>
                <w:color w:val="000000"/>
                <w:szCs w:val="22"/>
              </w:rPr>
              <w:t>ersonal protective equipment</w:t>
            </w:r>
          </w:p>
        </w:tc>
      </w:tr>
      <w:tr w:rsidR="007E5756" w:rsidRPr="008B1BD3" w14:paraId="2FA7CA02" w14:textId="77777777" w:rsidTr="00C0080D">
        <w:tc>
          <w:tcPr>
            <w:tcW w:w="1350" w:type="dxa"/>
          </w:tcPr>
          <w:p w14:paraId="7EB6F0D2" w14:textId="77777777" w:rsidR="007E5756" w:rsidRPr="008B1BD3" w:rsidRDefault="007E5756" w:rsidP="007E5756">
            <w:pPr>
              <w:tabs>
                <w:tab w:val="left" w:pos="624"/>
                <w:tab w:val="left" w:pos="1247"/>
                <w:tab w:val="left" w:pos="1871"/>
                <w:tab w:val="left" w:pos="2495"/>
              </w:tabs>
              <w:spacing w:before="40" w:after="40"/>
              <w:ind w:left="176" w:hanging="142"/>
              <w:rPr>
                <w:color w:val="000000"/>
                <w:szCs w:val="22"/>
              </w:rPr>
            </w:pPr>
            <w:r w:rsidRPr="008B1BD3">
              <w:rPr>
                <w:color w:val="000000"/>
                <w:szCs w:val="22"/>
              </w:rPr>
              <w:t>ppm</w:t>
            </w:r>
          </w:p>
        </w:tc>
        <w:tc>
          <w:tcPr>
            <w:tcW w:w="8176" w:type="dxa"/>
          </w:tcPr>
          <w:p w14:paraId="4B41A019" w14:textId="77777777" w:rsidR="007E5756" w:rsidRPr="008B1BD3" w:rsidRDefault="00BC60F2" w:rsidP="007E5756">
            <w:pPr>
              <w:tabs>
                <w:tab w:val="left" w:pos="624"/>
                <w:tab w:val="left" w:pos="1247"/>
                <w:tab w:val="left" w:pos="1871"/>
                <w:tab w:val="left" w:pos="2495"/>
              </w:tabs>
              <w:spacing w:before="40" w:after="40"/>
              <w:rPr>
                <w:color w:val="000000"/>
                <w:szCs w:val="22"/>
              </w:rPr>
            </w:pPr>
            <w:r>
              <w:rPr>
                <w:color w:val="000000"/>
                <w:szCs w:val="22"/>
              </w:rPr>
              <w:t>P</w:t>
            </w:r>
            <w:r w:rsidR="007E5756" w:rsidRPr="008B1BD3">
              <w:rPr>
                <w:color w:val="000000"/>
                <w:szCs w:val="22"/>
              </w:rPr>
              <w:t>arts per million (used only with reference to the concentration of a pesticide in an experimental diet. In all other contexts the terms mg/kg or mg/</w:t>
            </w:r>
            <w:r w:rsidR="007E5756">
              <w:rPr>
                <w:color w:val="000000"/>
                <w:szCs w:val="22"/>
              </w:rPr>
              <w:t>L</w:t>
            </w:r>
            <w:r w:rsidR="007E5756" w:rsidRPr="008B1BD3">
              <w:rPr>
                <w:color w:val="000000"/>
                <w:szCs w:val="22"/>
              </w:rPr>
              <w:t xml:space="preserve"> are used).</w:t>
            </w:r>
          </w:p>
        </w:tc>
      </w:tr>
      <w:tr w:rsidR="00BC60F2" w:rsidRPr="008B1BD3" w14:paraId="3767A671" w14:textId="77777777" w:rsidTr="00C0080D">
        <w:tc>
          <w:tcPr>
            <w:tcW w:w="1350" w:type="dxa"/>
          </w:tcPr>
          <w:p w14:paraId="52FD69EB"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proofErr w:type="spellStart"/>
            <w:r w:rsidRPr="008B1BD3">
              <w:rPr>
                <w:color w:val="000000"/>
                <w:szCs w:val="22"/>
              </w:rPr>
              <w:t>RfD</w:t>
            </w:r>
            <w:proofErr w:type="spellEnd"/>
          </w:p>
        </w:tc>
        <w:tc>
          <w:tcPr>
            <w:tcW w:w="8176" w:type="dxa"/>
          </w:tcPr>
          <w:p w14:paraId="5ED5493E"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R</w:t>
            </w:r>
            <w:r w:rsidRPr="008B1BD3">
              <w:rPr>
                <w:color w:val="000000"/>
                <w:szCs w:val="22"/>
              </w:rPr>
              <w:t xml:space="preserve">eference dose </w:t>
            </w:r>
            <w:r>
              <w:rPr>
                <w:color w:val="000000"/>
                <w:szCs w:val="22"/>
              </w:rPr>
              <w:t>(</w:t>
            </w:r>
            <w:r w:rsidRPr="008B1BD3">
              <w:rPr>
                <w:color w:val="000000"/>
                <w:szCs w:val="22"/>
              </w:rPr>
              <w:t>for chronic oral exposure</w:t>
            </w:r>
            <w:r>
              <w:rPr>
                <w:color w:val="000000"/>
                <w:szCs w:val="22"/>
              </w:rPr>
              <w:t>;</w:t>
            </w:r>
            <w:r w:rsidRPr="008B1BD3">
              <w:rPr>
                <w:color w:val="000000"/>
                <w:szCs w:val="22"/>
              </w:rPr>
              <w:t xml:space="preserve"> comparable to </w:t>
            </w:r>
            <w:smartTag w:uri="urn:schemas-microsoft-com:office:smarttags" w:element="stockticker">
              <w:r w:rsidRPr="008B1BD3">
                <w:rPr>
                  <w:color w:val="000000"/>
                  <w:szCs w:val="22"/>
                </w:rPr>
                <w:t>ADI</w:t>
              </w:r>
            </w:smartTag>
            <w:r w:rsidRPr="008B1BD3">
              <w:rPr>
                <w:color w:val="000000"/>
                <w:szCs w:val="22"/>
              </w:rPr>
              <w:t>)</w:t>
            </w:r>
          </w:p>
        </w:tc>
      </w:tr>
      <w:tr w:rsidR="00BC60F2" w:rsidRPr="008B1BD3" w14:paraId="5A8AFA82" w14:textId="77777777" w:rsidTr="00C0080D">
        <w:tc>
          <w:tcPr>
            <w:tcW w:w="1350" w:type="dxa"/>
          </w:tcPr>
          <w:p w14:paraId="1E690B81"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SMR</w:t>
            </w:r>
          </w:p>
        </w:tc>
        <w:tc>
          <w:tcPr>
            <w:tcW w:w="8176" w:type="dxa"/>
          </w:tcPr>
          <w:p w14:paraId="3EEB0E28"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S</w:t>
            </w:r>
            <w:r w:rsidRPr="008B1BD3">
              <w:rPr>
                <w:color w:val="000000"/>
                <w:szCs w:val="22"/>
              </w:rPr>
              <w:t>tandard</w:t>
            </w:r>
            <w:r>
              <w:rPr>
                <w:color w:val="000000"/>
                <w:szCs w:val="22"/>
              </w:rPr>
              <w:t>(</w:t>
            </w:r>
            <w:proofErr w:type="spellStart"/>
            <w:r w:rsidRPr="008B1BD3">
              <w:rPr>
                <w:color w:val="000000"/>
                <w:szCs w:val="22"/>
              </w:rPr>
              <w:t>ized</w:t>
            </w:r>
            <w:proofErr w:type="spellEnd"/>
            <w:r>
              <w:rPr>
                <w:color w:val="000000"/>
                <w:szCs w:val="22"/>
              </w:rPr>
              <w:t>)</w:t>
            </w:r>
            <w:r w:rsidRPr="008B1BD3">
              <w:rPr>
                <w:color w:val="000000"/>
                <w:szCs w:val="22"/>
              </w:rPr>
              <w:t xml:space="preserve"> mortality ratio</w:t>
            </w:r>
          </w:p>
        </w:tc>
      </w:tr>
      <w:tr w:rsidR="00BC60F2" w:rsidRPr="008B1BD3" w14:paraId="27B5DC4E" w14:textId="77777777" w:rsidTr="00C0080D">
        <w:tc>
          <w:tcPr>
            <w:tcW w:w="1350" w:type="dxa"/>
          </w:tcPr>
          <w:p w14:paraId="20B92F3C"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STEL</w:t>
            </w:r>
          </w:p>
        </w:tc>
        <w:tc>
          <w:tcPr>
            <w:tcW w:w="8176" w:type="dxa"/>
          </w:tcPr>
          <w:p w14:paraId="7B55DABF"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S</w:t>
            </w:r>
            <w:r w:rsidRPr="008B1BD3">
              <w:rPr>
                <w:color w:val="000000"/>
                <w:szCs w:val="22"/>
              </w:rPr>
              <w:t>hort</w:t>
            </w:r>
            <w:r>
              <w:rPr>
                <w:color w:val="000000"/>
                <w:szCs w:val="22"/>
              </w:rPr>
              <w:t>-</w:t>
            </w:r>
            <w:r w:rsidRPr="008B1BD3">
              <w:rPr>
                <w:color w:val="000000"/>
                <w:szCs w:val="22"/>
              </w:rPr>
              <w:t>term exposure limit</w:t>
            </w:r>
          </w:p>
        </w:tc>
      </w:tr>
      <w:tr w:rsidR="00BC60F2" w:rsidRPr="008B1BD3" w14:paraId="301AEC54" w14:textId="77777777" w:rsidTr="00C0080D">
        <w:tc>
          <w:tcPr>
            <w:tcW w:w="1350" w:type="dxa"/>
          </w:tcPr>
          <w:p w14:paraId="06D16D30"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Pr>
                <w:color w:val="000000"/>
                <w:szCs w:val="22"/>
              </w:rPr>
              <w:t>TER</w:t>
            </w:r>
          </w:p>
        </w:tc>
        <w:tc>
          <w:tcPr>
            <w:tcW w:w="8176" w:type="dxa"/>
          </w:tcPr>
          <w:p w14:paraId="2B567D8A" w14:textId="77777777" w:rsidR="00BC60F2" w:rsidRPr="008B1BD3" w:rsidDel="00710496" w:rsidRDefault="00BC60F2" w:rsidP="00BC60F2">
            <w:pPr>
              <w:tabs>
                <w:tab w:val="left" w:pos="624"/>
                <w:tab w:val="left" w:pos="1247"/>
                <w:tab w:val="left" w:pos="1871"/>
                <w:tab w:val="left" w:pos="2495"/>
              </w:tabs>
              <w:spacing w:before="40" w:after="40"/>
              <w:rPr>
                <w:color w:val="000000"/>
                <w:szCs w:val="22"/>
              </w:rPr>
            </w:pPr>
            <w:r>
              <w:rPr>
                <w:color w:val="000000"/>
                <w:szCs w:val="22"/>
              </w:rPr>
              <w:t>Toxicity exposure ratio</w:t>
            </w:r>
          </w:p>
        </w:tc>
      </w:tr>
      <w:tr w:rsidR="00BC60F2" w:rsidRPr="008B1BD3" w14:paraId="4FB60BE4" w14:textId="77777777" w:rsidTr="00C0080D">
        <w:tc>
          <w:tcPr>
            <w:tcW w:w="1350" w:type="dxa"/>
          </w:tcPr>
          <w:p w14:paraId="13E91A26"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TLV</w:t>
            </w:r>
          </w:p>
        </w:tc>
        <w:tc>
          <w:tcPr>
            <w:tcW w:w="8176" w:type="dxa"/>
          </w:tcPr>
          <w:p w14:paraId="709CF027"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T</w:t>
            </w:r>
            <w:r w:rsidRPr="008B1BD3">
              <w:rPr>
                <w:color w:val="000000"/>
                <w:szCs w:val="22"/>
              </w:rPr>
              <w:t>hreshold limit value</w:t>
            </w:r>
          </w:p>
        </w:tc>
      </w:tr>
      <w:tr w:rsidR="00BC60F2" w:rsidRPr="008B1BD3" w14:paraId="6D222AC4" w14:textId="77777777" w:rsidTr="00C0080D">
        <w:tc>
          <w:tcPr>
            <w:tcW w:w="1350" w:type="dxa"/>
          </w:tcPr>
          <w:p w14:paraId="15F31042"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TWA</w:t>
            </w:r>
          </w:p>
        </w:tc>
        <w:tc>
          <w:tcPr>
            <w:tcW w:w="8176" w:type="dxa"/>
          </w:tcPr>
          <w:p w14:paraId="28C37311"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T</w:t>
            </w:r>
            <w:r w:rsidRPr="008B1BD3">
              <w:rPr>
                <w:color w:val="000000"/>
                <w:szCs w:val="22"/>
              </w:rPr>
              <w:t>ime</w:t>
            </w:r>
            <w:r>
              <w:rPr>
                <w:color w:val="000000"/>
                <w:szCs w:val="22"/>
              </w:rPr>
              <w:t>-</w:t>
            </w:r>
            <w:r w:rsidRPr="008B1BD3">
              <w:rPr>
                <w:color w:val="000000"/>
                <w:szCs w:val="22"/>
              </w:rPr>
              <w:t>weighted average</w:t>
            </w:r>
          </w:p>
        </w:tc>
      </w:tr>
      <w:tr w:rsidR="00BC60F2" w:rsidRPr="008B1BD3" w14:paraId="125DD699" w14:textId="77777777" w:rsidTr="00C0080D">
        <w:tc>
          <w:tcPr>
            <w:tcW w:w="1350" w:type="dxa"/>
          </w:tcPr>
          <w:p w14:paraId="52CF8801"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UNEP</w:t>
            </w:r>
          </w:p>
        </w:tc>
        <w:tc>
          <w:tcPr>
            <w:tcW w:w="8176" w:type="dxa"/>
          </w:tcPr>
          <w:p w14:paraId="7EA1704B" w14:textId="77777777" w:rsidR="00BC60F2" w:rsidRPr="008B1BD3" w:rsidRDefault="00BC60F2" w:rsidP="00BC60F2">
            <w:pPr>
              <w:tabs>
                <w:tab w:val="left" w:pos="624"/>
                <w:tab w:val="left" w:pos="1247"/>
                <w:tab w:val="left" w:pos="1871"/>
                <w:tab w:val="left" w:pos="2495"/>
              </w:tabs>
              <w:spacing w:before="40" w:after="40"/>
              <w:rPr>
                <w:color w:val="000000"/>
                <w:szCs w:val="22"/>
              </w:rPr>
            </w:pPr>
            <w:r w:rsidRPr="008B1BD3">
              <w:rPr>
                <w:color w:val="000000"/>
                <w:szCs w:val="22"/>
              </w:rPr>
              <w:t>United Nations Environment Programme</w:t>
            </w:r>
          </w:p>
        </w:tc>
      </w:tr>
      <w:tr w:rsidR="00BC60F2" w:rsidRPr="008B1BD3" w14:paraId="1BEEFCC9" w14:textId="77777777" w:rsidTr="00C0080D">
        <w:tc>
          <w:tcPr>
            <w:tcW w:w="1350" w:type="dxa"/>
          </w:tcPr>
          <w:p w14:paraId="34FE6E0B"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USEPA</w:t>
            </w:r>
          </w:p>
        </w:tc>
        <w:tc>
          <w:tcPr>
            <w:tcW w:w="8176" w:type="dxa"/>
          </w:tcPr>
          <w:p w14:paraId="1FD07A42" w14:textId="77777777" w:rsidR="00BC60F2" w:rsidRPr="008B1BD3" w:rsidRDefault="00BC60F2" w:rsidP="00BC60F2">
            <w:pPr>
              <w:tabs>
                <w:tab w:val="left" w:pos="624"/>
                <w:tab w:val="left" w:pos="1247"/>
                <w:tab w:val="left" w:pos="1871"/>
                <w:tab w:val="left" w:pos="2495"/>
              </w:tabs>
              <w:spacing w:before="40" w:after="40"/>
              <w:rPr>
                <w:color w:val="000000"/>
                <w:szCs w:val="22"/>
              </w:rPr>
            </w:pPr>
            <w:r w:rsidRPr="008B1BD3">
              <w:rPr>
                <w:color w:val="000000"/>
                <w:szCs w:val="22"/>
              </w:rPr>
              <w:t>United States Environmental Protection Agency</w:t>
            </w:r>
          </w:p>
        </w:tc>
      </w:tr>
      <w:tr w:rsidR="00BC60F2" w:rsidRPr="008B1BD3" w14:paraId="35BF3F2E" w14:textId="77777777" w:rsidTr="00C0080D">
        <w:tc>
          <w:tcPr>
            <w:tcW w:w="1350" w:type="dxa"/>
          </w:tcPr>
          <w:p w14:paraId="3A647772"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UV</w:t>
            </w:r>
          </w:p>
        </w:tc>
        <w:tc>
          <w:tcPr>
            <w:tcW w:w="8176" w:type="dxa"/>
          </w:tcPr>
          <w:p w14:paraId="3B4734BE"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U</w:t>
            </w:r>
            <w:r w:rsidRPr="008B1BD3">
              <w:rPr>
                <w:color w:val="000000"/>
                <w:szCs w:val="22"/>
              </w:rPr>
              <w:t>ltraviolet</w:t>
            </w:r>
          </w:p>
        </w:tc>
      </w:tr>
      <w:tr w:rsidR="00BC60F2" w:rsidRPr="008B1BD3" w14:paraId="4803BC6C" w14:textId="77777777" w:rsidTr="00C0080D">
        <w:tc>
          <w:tcPr>
            <w:tcW w:w="1350" w:type="dxa"/>
          </w:tcPr>
          <w:p w14:paraId="04E79F9B"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VOC</w:t>
            </w:r>
          </w:p>
        </w:tc>
        <w:tc>
          <w:tcPr>
            <w:tcW w:w="8176" w:type="dxa"/>
          </w:tcPr>
          <w:p w14:paraId="44E2B342"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V</w:t>
            </w:r>
            <w:r w:rsidRPr="008B1BD3">
              <w:rPr>
                <w:color w:val="000000"/>
                <w:szCs w:val="22"/>
              </w:rPr>
              <w:t>olatile organic compound</w:t>
            </w:r>
          </w:p>
        </w:tc>
      </w:tr>
      <w:tr w:rsidR="00BC60F2" w:rsidRPr="008B1BD3" w14:paraId="42E344F9" w14:textId="77777777" w:rsidTr="00C0080D">
        <w:tc>
          <w:tcPr>
            <w:tcW w:w="1350" w:type="dxa"/>
          </w:tcPr>
          <w:p w14:paraId="52606615"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Pr>
                <w:color w:val="000000"/>
                <w:szCs w:val="22"/>
              </w:rPr>
              <w:t>w/w</w:t>
            </w:r>
          </w:p>
        </w:tc>
        <w:tc>
          <w:tcPr>
            <w:tcW w:w="8176" w:type="dxa"/>
          </w:tcPr>
          <w:p w14:paraId="57390E37" w14:textId="77777777" w:rsidR="00BC60F2" w:rsidRDefault="00BC60F2" w:rsidP="00BC60F2">
            <w:pPr>
              <w:tabs>
                <w:tab w:val="left" w:pos="624"/>
                <w:tab w:val="left" w:pos="1247"/>
                <w:tab w:val="left" w:pos="1871"/>
                <w:tab w:val="left" w:pos="2495"/>
              </w:tabs>
              <w:spacing w:before="40" w:after="40"/>
              <w:rPr>
                <w:color w:val="000000"/>
                <w:szCs w:val="22"/>
              </w:rPr>
            </w:pPr>
            <w:r>
              <w:rPr>
                <w:color w:val="000000"/>
                <w:szCs w:val="22"/>
              </w:rPr>
              <w:t>Weight for weight</w:t>
            </w:r>
          </w:p>
        </w:tc>
      </w:tr>
      <w:tr w:rsidR="00BC60F2" w:rsidRPr="008B1BD3" w14:paraId="379BFF5B" w14:textId="77777777" w:rsidTr="00C0080D">
        <w:tc>
          <w:tcPr>
            <w:tcW w:w="1350" w:type="dxa"/>
          </w:tcPr>
          <w:p w14:paraId="23D9DB00" w14:textId="77777777" w:rsidR="00BC60F2" w:rsidRPr="008B1BD3" w:rsidRDefault="00BC60F2" w:rsidP="00BC60F2">
            <w:pPr>
              <w:tabs>
                <w:tab w:val="left" w:pos="624"/>
                <w:tab w:val="left" w:pos="1247"/>
                <w:tab w:val="left" w:pos="1871"/>
                <w:tab w:val="left" w:pos="2495"/>
              </w:tabs>
              <w:spacing w:before="40" w:after="40"/>
              <w:ind w:left="176" w:hanging="142"/>
              <w:rPr>
                <w:color w:val="000000"/>
                <w:szCs w:val="22"/>
              </w:rPr>
            </w:pPr>
            <w:r w:rsidRPr="008B1BD3">
              <w:rPr>
                <w:color w:val="000000"/>
                <w:szCs w:val="22"/>
              </w:rPr>
              <w:t>WHO</w:t>
            </w:r>
          </w:p>
        </w:tc>
        <w:tc>
          <w:tcPr>
            <w:tcW w:w="8176" w:type="dxa"/>
          </w:tcPr>
          <w:p w14:paraId="77B360F8" w14:textId="77777777" w:rsidR="00BC60F2" w:rsidRDefault="00BC60F2" w:rsidP="00BC60F2">
            <w:pPr>
              <w:tabs>
                <w:tab w:val="left" w:pos="624"/>
                <w:tab w:val="left" w:pos="1247"/>
                <w:tab w:val="left" w:pos="1871"/>
                <w:tab w:val="left" w:pos="2495"/>
              </w:tabs>
              <w:spacing w:before="40" w:after="40"/>
              <w:rPr>
                <w:color w:val="000000"/>
                <w:szCs w:val="22"/>
              </w:rPr>
            </w:pPr>
            <w:r w:rsidRPr="008B1BD3">
              <w:rPr>
                <w:color w:val="000000"/>
                <w:szCs w:val="22"/>
              </w:rPr>
              <w:t>World Health Organization</w:t>
            </w:r>
          </w:p>
        </w:tc>
      </w:tr>
      <w:tr w:rsidR="00BC60F2" w:rsidRPr="008B1BD3" w14:paraId="6DA97B5E" w14:textId="77777777" w:rsidTr="00C0080D">
        <w:tc>
          <w:tcPr>
            <w:tcW w:w="1350" w:type="dxa"/>
          </w:tcPr>
          <w:p w14:paraId="76A02A3C" w14:textId="77777777" w:rsidR="00BC60F2" w:rsidRDefault="00BC60F2" w:rsidP="00BC60F2">
            <w:pPr>
              <w:tabs>
                <w:tab w:val="left" w:pos="624"/>
                <w:tab w:val="left" w:pos="1247"/>
                <w:tab w:val="left" w:pos="1871"/>
                <w:tab w:val="left" w:pos="2495"/>
              </w:tabs>
              <w:spacing w:before="40" w:after="40"/>
              <w:ind w:left="176" w:hanging="142"/>
              <w:rPr>
                <w:color w:val="000000"/>
                <w:szCs w:val="22"/>
              </w:rPr>
            </w:pPr>
            <w:proofErr w:type="spellStart"/>
            <w:r>
              <w:rPr>
                <w:color w:val="000000"/>
                <w:szCs w:val="22"/>
              </w:rPr>
              <w:t>w</w:t>
            </w:r>
            <w:r w:rsidRPr="008B1BD3">
              <w:rPr>
                <w:color w:val="000000"/>
                <w:szCs w:val="22"/>
              </w:rPr>
              <w:t>t</w:t>
            </w:r>
            <w:proofErr w:type="spellEnd"/>
          </w:p>
        </w:tc>
        <w:tc>
          <w:tcPr>
            <w:tcW w:w="8176" w:type="dxa"/>
          </w:tcPr>
          <w:p w14:paraId="79813A60" w14:textId="77777777" w:rsidR="00BC60F2" w:rsidRPr="008B1BD3" w:rsidRDefault="00BC60F2" w:rsidP="00BC60F2">
            <w:pPr>
              <w:tabs>
                <w:tab w:val="left" w:pos="624"/>
                <w:tab w:val="left" w:pos="1247"/>
                <w:tab w:val="left" w:pos="1871"/>
                <w:tab w:val="left" w:pos="2495"/>
              </w:tabs>
              <w:spacing w:before="40" w:after="40"/>
              <w:rPr>
                <w:color w:val="000000"/>
                <w:szCs w:val="22"/>
              </w:rPr>
            </w:pPr>
            <w:r>
              <w:rPr>
                <w:color w:val="000000"/>
                <w:szCs w:val="22"/>
              </w:rPr>
              <w:t>W</w:t>
            </w:r>
            <w:r w:rsidRPr="008B1BD3">
              <w:rPr>
                <w:color w:val="000000"/>
                <w:szCs w:val="22"/>
              </w:rPr>
              <w:t>eight</w:t>
            </w:r>
          </w:p>
        </w:tc>
      </w:tr>
    </w:tbl>
    <w:p w14:paraId="19EEC727" w14:textId="77777777" w:rsidR="00AA6543" w:rsidRPr="00AA6543" w:rsidRDefault="00AA6543" w:rsidP="00803F46">
      <w:pPr>
        <w:spacing w:after="0"/>
        <w:rPr>
          <w:rFonts w:eastAsia="Times New Roman"/>
          <w:szCs w:val="20"/>
          <w:lang w:eastAsia="en-US"/>
        </w:rPr>
      </w:pPr>
      <w:r w:rsidRPr="00AA6543">
        <w:rPr>
          <w:rFonts w:eastAsia="Times New Roman"/>
          <w:szCs w:val="20"/>
          <w:lang w:eastAsia="en-US"/>
        </w:rPr>
        <w:br w:type="page"/>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9540"/>
      </w:tblGrid>
      <w:tr w:rsidR="00AA6543" w:rsidRPr="00B1179D" w14:paraId="50C3BFC9" w14:textId="77777777" w:rsidTr="00803F46">
        <w:tc>
          <w:tcPr>
            <w:tcW w:w="9540" w:type="dxa"/>
            <w:shd w:val="pct10" w:color="auto" w:fill="auto"/>
          </w:tcPr>
          <w:p w14:paraId="785ADC56" w14:textId="77777777" w:rsidR="00AA6543" w:rsidRPr="006170BD" w:rsidRDefault="00AA6543" w:rsidP="006170BD">
            <w:pPr>
              <w:spacing w:before="120"/>
              <w:rPr>
                <w:b/>
                <w:bCs/>
                <w:sz w:val="28"/>
                <w:szCs w:val="28"/>
              </w:rPr>
            </w:pPr>
            <w:r w:rsidRPr="006170BD">
              <w:rPr>
                <w:b/>
                <w:bCs/>
                <w:sz w:val="28"/>
                <w:szCs w:val="28"/>
              </w:rPr>
              <w:t>Decision guidance document for a banned or severely restricted chemical</w:t>
            </w:r>
          </w:p>
        </w:tc>
      </w:tr>
    </w:tbl>
    <w:p w14:paraId="00A15545" w14:textId="77777777" w:rsidR="00AA6543" w:rsidRDefault="00AA6543" w:rsidP="00AA6543">
      <w:pPr>
        <w:tabs>
          <w:tab w:val="left" w:pos="-720"/>
          <w:tab w:val="left" w:pos="0"/>
          <w:tab w:val="left" w:pos="720"/>
        </w:tabs>
        <w:suppressAutoHyphens/>
        <w:rPr>
          <w:rFonts w:eastAsia="Times New Roman"/>
          <w:szCs w:val="10"/>
          <w:lang w:eastAsia="en-US"/>
        </w:rPr>
      </w:pPr>
    </w:p>
    <w:tbl>
      <w:tblPr>
        <w:tblW w:w="9498" w:type="dxa"/>
        <w:tblInd w:w="108" w:type="dxa"/>
        <w:tblLayout w:type="fixed"/>
        <w:tblLook w:val="0000" w:firstRow="0" w:lastRow="0" w:firstColumn="0" w:lastColumn="0" w:noHBand="0" w:noVBand="0"/>
      </w:tblPr>
      <w:tblGrid>
        <w:gridCol w:w="6256"/>
        <w:gridCol w:w="3242"/>
      </w:tblGrid>
      <w:tr w:rsidR="007937D9" w:rsidRPr="00B1179D" w14:paraId="4D306084" w14:textId="77777777" w:rsidTr="00C0080D">
        <w:trPr>
          <w:cantSplit/>
        </w:trPr>
        <w:tc>
          <w:tcPr>
            <w:tcW w:w="6224" w:type="dxa"/>
            <w:tcBorders>
              <w:top w:val="single" w:sz="6" w:space="0" w:color="808080"/>
              <w:left w:val="single" w:sz="6" w:space="0" w:color="808080"/>
              <w:bottom w:val="single" w:sz="6" w:space="0" w:color="808080"/>
            </w:tcBorders>
            <w:shd w:val="clear" w:color="auto" w:fill="FFFFFF"/>
            <w:vAlign w:val="center"/>
          </w:tcPr>
          <w:p w14:paraId="4850E3F9" w14:textId="77777777" w:rsidR="007937D9" w:rsidRPr="002F0C79" w:rsidRDefault="007937D9" w:rsidP="00C0080D">
            <w:pPr>
              <w:keepNext/>
              <w:rPr>
                <w:rFonts w:eastAsia="Times New Roman"/>
                <w:b/>
                <w:kern w:val="28"/>
                <w:szCs w:val="48"/>
                <w:lang w:eastAsia="en-US"/>
              </w:rPr>
            </w:pPr>
            <w:r w:rsidRPr="002F0C79">
              <w:rPr>
                <w:rFonts w:eastAsia="Times New Roman"/>
                <w:b/>
                <w:i/>
                <w:kern w:val="28"/>
                <w:sz w:val="28"/>
                <w:szCs w:val="48"/>
                <w:lang w:eastAsia="en-US"/>
              </w:rPr>
              <w:t>Mercury</w:t>
            </w:r>
          </w:p>
        </w:tc>
        <w:tc>
          <w:tcPr>
            <w:tcW w:w="3226" w:type="dxa"/>
            <w:tcBorders>
              <w:top w:val="single" w:sz="6" w:space="0" w:color="808080"/>
              <w:bottom w:val="single" w:sz="6" w:space="0" w:color="808080"/>
              <w:right w:val="single" w:sz="6" w:space="0" w:color="808080"/>
            </w:tcBorders>
            <w:shd w:val="clear" w:color="auto" w:fill="FFFFFF"/>
            <w:vAlign w:val="center"/>
          </w:tcPr>
          <w:p w14:paraId="6246B23B" w14:textId="77777777" w:rsidR="007937D9" w:rsidRPr="00B1179D" w:rsidRDefault="007937D9" w:rsidP="00C0080D">
            <w:pPr>
              <w:keepNext/>
              <w:rPr>
                <w:rFonts w:eastAsia="Times New Roman"/>
                <w:b/>
                <w:bCs/>
                <w:i/>
                <w:kern w:val="28"/>
                <w:szCs w:val="48"/>
                <w:lang w:eastAsia="en-US"/>
              </w:rPr>
            </w:pPr>
            <w:r w:rsidRPr="00B1179D">
              <w:rPr>
                <w:rFonts w:eastAsia="Times New Roman"/>
                <w:b/>
                <w:bCs/>
                <w:kern w:val="28"/>
                <w:szCs w:val="48"/>
                <w:lang w:eastAsia="en-US"/>
              </w:rPr>
              <w:t>Published:</w:t>
            </w:r>
          </w:p>
        </w:tc>
      </w:tr>
    </w:tbl>
    <w:p w14:paraId="53F3950C" w14:textId="77777777" w:rsidR="007937D9" w:rsidRPr="00FA267E" w:rsidRDefault="007937D9" w:rsidP="007937D9">
      <w:pPr>
        <w:pStyle w:val="Heading1"/>
      </w:pPr>
      <w:bookmarkStart w:id="3" w:name="_Toc154010806"/>
      <w:r w:rsidRPr="00FA267E">
        <w:t>1.</w:t>
      </w:r>
      <w:r w:rsidR="00905EDF">
        <w:tab/>
      </w:r>
      <w:r w:rsidRPr="00FA267E">
        <w:t>Identification and uses (see Annex 1 for further details)</w:t>
      </w:r>
      <w:bookmarkEnd w:id="3"/>
    </w:p>
    <w:tbl>
      <w:tblPr>
        <w:tblW w:w="9498" w:type="dxa"/>
        <w:tblInd w:w="108" w:type="dxa"/>
        <w:tblLayout w:type="fixed"/>
        <w:tblLook w:val="0000" w:firstRow="0" w:lastRow="0" w:firstColumn="0" w:lastColumn="0" w:noHBand="0" w:noVBand="0"/>
      </w:tblPr>
      <w:tblGrid>
        <w:gridCol w:w="2070"/>
        <w:gridCol w:w="7428"/>
      </w:tblGrid>
      <w:tr w:rsidR="00AA6543" w:rsidRPr="00BC60F2" w14:paraId="0542E0AE" w14:textId="77777777" w:rsidTr="00BC60F2">
        <w:tc>
          <w:tcPr>
            <w:tcW w:w="2070" w:type="dxa"/>
          </w:tcPr>
          <w:p w14:paraId="42A9D92E" w14:textId="77777777" w:rsidR="00AA6543" w:rsidRPr="00F35D07" w:rsidRDefault="00AA6543" w:rsidP="00F35D07">
            <w:pPr>
              <w:rPr>
                <w:b/>
                <w:bCs/>
                <w:lang w:eastAsia="en-US"/>
              </w:rPr>
            </w:pPr>
            <w:r w:rsidRPr="00F35D07">
              <w:rPr>
                <w:b/>
                <w:bCs/>
                <w:lang w:eastAsia="en-US"/>
              </w:rPr>
              <w:t>Common name</w:t>
            </w:r>
          </w:p>
        </w:tc>
        <w:tc>
          <w:tcPr>
            <w:tcW w:w="7428" w:type="dxa"/>
          </w:tcPr>
          <w:p w14:paraId="08FDA22A" w14:textId="77777777" w:rsidR="00AA6543" w:rsidRPr="00BC60F2" w:rsidRDefault="00E43EE1" w:rsidP="00AA6543">
            <w:pPr>
              <w:rPr>
                <w:rFonts w:eastAsia="Times New Roman"/>
                <w:szCs w:val="20"/>
                <w:lang w:eastAsia="en-US"/>
              </w:rPr>
            </w:pPr>
            <w:r w:rsidRPr="00BC60F2">
              <w:rPr>
                <w:rFonts w:eastAsia="Times New Roman"/>
                <w:szCs w:val="20"/>
                <w:lang w:eastAsia="en-US"/>
              </w:rPr>
              <w:t>Mercury</w:t>
            </w:r>
          </w:p>
        </w:tc>
      </w:tr>
      <w:tr w:rsidR="00AA6543" w:rsidRPr="00BC60F2" w14:paraId="7A5B8CD6" w14:textId="77777777" w:rsidTr="00BC60F2">
        <w:tc>
          <w:tcPr>
            <w:tcW w:w="2070" w:type="dxa"/>
          </w:tcPr>
          <w:p w14:paraId="71B22842" w14:textId="77777777" w:rsidR="00AA6543" w:rsidRPr="00F35D07" w:rsidRDefault="00AA6543" w:rsidP="00F35D07">
            <w:pPr>
              <w:rPr>
                <w:b/>
                <w:bCs/>
                <w:lang w:eastAsia="en-US"/>
              </w:rPr>
            </w:pPr>
            <w:r w:rsidRPr="00F35D07">
              <w:rPr>
                <w:b/>
                <w:bCs/>
                <w:lang w:eastAsia="en-US"/>
              </w:rPr>
              <w:t>Chemical name and other names or synonyms</w:t>
            </w:r>
          </w:p>
        </w:tc>
        <w:tc>
          <w:tcPr>
            <w:tcW w:w="7428" w:type="dxa"/>
          </w:tcPr>
          <w:p w14:paraId="5ABF5CE4" w14:textId="77777777" w:rsidR="00AA6543" w:rsidRPr="00BC60F2" w:rsidRDefault="00B4178D" w:rsidP="00AA6543">
            <w:pPr>
              <w:rPr>
                <w:rFonts w:eastAsia="Times New Roman"/>
                <w:szCs w:val="20"/>
                <w:lang w:eastAsia="en-US"/>
              </w:rPr>
            </w:pPr>
            <w:r w:rsidRPr="00BC60F2">
              <w:rPr>
                <w:rFonts w:eastAsia="Times New Roman"/>
                <w:szCs w:val="20"/>
                <w:lang w:eastAsia="en-US"/>
              </w:rPr>
              <w:t>Mercury</w:t>
            </w:r>
          </w:p>
        </w:tc>
      </w:tr>
      <w:tr w:rsidR="00AA6543" w:rsidRPr="00BC60F2" w14:paraId="630892EB" w14:textId="77777777" w:rsidTr="00BC60F2">
        <w:tc>
          <w:tcPr>
            <w:tcW w:w="2070" w:type="dxa"/>
          </w:tcPr>
          <w:p w14:paraId="2536F12B" w14:textId="77777777" w:rsidR="00AA6543" w:rsidRPr="00F35D07" w:rsidRDefault="00AA6543" w:rsidP="00F35D07">
            <w:pPr>
              <w:rPr>
                <w:b/>
                <w:bCs/>
                <w:lang w:eastAsia="en-US"/>
              </w:rPr>
            </w:pPr>
            <w:r w:rsidRPr="00F35D07">
              <w:rPr>
                <w:b/>
                <w:bCs/>
                <w:lang w:eastAsia="en-US"/>
              </w:rPr>
              <w:t>Molecular formula</w:t>
            </w:r>
          </w:p>
        </w:tc>
        <w:tc>
          <w:tcPr>
            <w:tcW w:w="7428" w:type="dxa"/>
          </w:tcPr>
          <w:p w14:paraId="47CEC92D" w14:textId="77777777" w:rsidR="00AA6543" w:rsidRPr="00BC60F2" w:rsidRDefault="00B4178D" w:rsidP="00AA6543">
            <w:pPr>
              <w:rPr>
                <w:rFonts w:eastAsia="Times New Roman"/>
                <w:bCs/>
                <w:szCs w:val="20"/>
                <w:lang w:val="en-US" w:eastAsia="en-US"/>
              </w:rPr>
            </w:pPr>
            <w:r w:rsidRPr="00BC60F2">
              <w:rPr>
                <w:rFonts w:eastAsia="Times New Roman"/>
                <w:bCs/>
                <w:szCs w:val="20"/>
                <w:lang w:val="en-US" w:eastAsia="en-US"/>
              </w:rPr>
              <w:t>Hg</w:t>
            </w:r>
          </w:p>
        </w:tc>
      </w:tr>
      <w:tr w:rsidR="00AA6543" w:rsidRPr="00BC60F2" w14:paraId="0ADEE1C3" w14:textId="77777777" w:rsidTr="00BC60F2">
        <w:tc>
          <w:tcPr>
            <w:tcW w:w="2070" w:type="dxa"/>
          </w:tcPr>
          <w:p w14:paraId="5AF93DD3" w14:textId="77777777" w:rsidR="00AA6543" w:rsidRPr="00F35D07" w:rsidRDefault="00AA6543" w:rsidP="00F35D07">
            <w:pPr>
              <w:rPr>
                <w:b/>
                <w:bCs/>
                <w:lang w:eastAsia="en-US"/>
              </w:rPr>
            </w:pPr>
            <w:r w:rsidRPr="00F35D07">
              <w:rPr>
                <w:b/>
                <w:bCs/>
                <w:lang w:eastAsia="en-US"/>
              </w:rPr>
              <w:t>Chemical structure</w:t>
            </w:r>
          </w:p>
        </w:tc>
        <w:tc>
          <w:tcPr>
            <w:tcW w:w="7428" w:type="dxa"/>
          </w:tcPr>
          <w:p w14:paraId="26C5BC8B" w14:textId="77777777" w:rsidR="00AA6543" w:rsidRPr="00BC60F2" w:rsidRDefault="00257443" w:rsidP="00AA6543">
            <w:pPr>
              <w:rPr>
                <w:rFonts w:eastAsia="Times New Roman"/>
                <w:bCs/>
                <w:szCs w:val="20"/>
                <w:lang w:val="en-US" w:eastAsia="en-US"/>
              </w:rPr>
            </w:pPr>
            <w:r w:rsidRPr="00BC60F2">
              <w:rPr>
                <w:rFonts w:eastAsia="Times New Roman"/>
                <w:bCs/>
                <w:szCs w:val="20"/>
                <w:lang w:val="en-US" w:eastAsia="en-US"/>
              </w:rPr>
              <w:t>Hg</w:t>
            </w:r>
          </w:p>
        </w:tc>
      </w:tr>
      <w:tr w:rsidR="00AA6543" w:rsidRPr="00BC60F2" w14:paraId="63368CC5" w14:textId="77777777" w:rsidTr="00BC60F2">
        <w:tc>
          <w:tcPr>
            <w:tcW w:w="2070" w:type="dxa"/>
          </w:tcPr>
          <w:p w14:paraId="2387B156" w14:textId="77777777" w:rsidR="00AA6543" w:rsidRPr="00F35D07" w:rsidRDefault="00AA6543" w:rsidP="00F35D07">
            <w:pPr>
              <w:rPr>
                <w:b/>
                <w:bCs/>
                <w:lang w:eastAsia="en-US"/>
              </w:rPr>
            </w:pPr>
            <w:r w:rsidRPr="00F35D07">
              <w:rPr>
                <w:b/>
                <w:bCs/>
                <w:lang w:eastAsia="en-US"/>
              </w:rPr>
              <w:t>CAS</w:t>
            </w:r>
            <w:r w:rsidR="007937D9" w:rsidRPr="00F35D07">
              <w:rPr>
                <w:b/>
                <w:bCs/>
                <w:lang w:eastAsia="en-US"/>
              </w:rPr>
              <w:t xml:space="preserve"> </w:t>
            </w:r>
            <w:r w:rsidRPr="00F35D07">
              <w:rPr>
                <w:b/>
                <w:bCs/>
                <w:lang w:eastAsia="en-US"/>
              </w:rPr>
              <w:t>No.</w:t>
            </w:r>
          </w:p>
        </w:tc>
        <w:tc>
          <w:tcPr>
            <w:tcW w:w="7428" w:type="dxa"/>
          </w:tcPr>
          <w:p w14:paraId="27AAEC43" w14:textId="77777777" w:rsidR="00AA6543" w:rsidRPr="00BC60F2" w:rsidRDefault="001952C9" w:rsidP="00AA6543">
            <w:pPr>
              <w:rPr>
                <w:rFonts w:eastAsia="Times New Roman"/>
                <w:bCs/>
                <w:szCs w:val="20"/>
                <w:lang w:val="en-US" w:eastAsia="en-US"/>
              </w:rPr>
            </w:pPr>
            <w:r w:rsidRPr="00BC60F2">
              <w:rPr>
                <w:rFonts w:eastAsia="Times New Roman"/>
                <w:bCs/>
                <w:szCs w:val="20"/>
                <w:lang w:val="en-US" w:eastAsia="en-US"/>
              </w:rPr>
              <w:t>7439-97-6</w:t>
            </w:r>
          </w:p>
        </w:tc>
      </w:tr>
      <w:tr w:rsidR="00AA6543" w:rsidRPr="00BC60F2" w14:paraId="4B1727FB" w14:textId="77777777" w:rsidTr="00BC60F2">
        <w:tc>
          <w:tcPr>
            <w:tcW w:w="2070" w:type="dxa"/>
          </w:tcPr>
          <w:p w14:paraId="3EC357E1" w14:textId="77777777" w:rsidR="00AA6543" w:rsidRPr="00F35D07" w:rsidRDefault="00AA6543" w:rsidP="00F35D07">
            <w:pPr>
              <w:rPr>
                <w:b/>
                <w:bCs/>
                <w:lang w:eastAsia="en-US"/>
              </w:rPr>
            </w:pPr>
            <w:r w:rsidRPr="00F35D07">
              <w:rPr>
                <w:b/>
                <w:bCs/>
                <w:lang w:eastAsia="en-US"/>
              </w:rPr>
              <w:t>Harmonized System Customs Code</w:t>
            </w:r>
          </w:p>
        </w:tc>
        <w:tc>
          <w:tcPr>
            <w:tcW w:w="7428" w:type="dxa"/>
          </w:tcPr>
          <w:p w14:paraId="670F254F" w14:textId="77777777" w:rsidR="00AA6543" w:rsidRPr="00BC60F2" w:rsidRDefault="001952C9" w:rsidP="00AA6543">
            <w:pPr>
              <w:rPr>
                <w:rFonts w:eastAsia="Times New Roman"/>
                <w:bCs/>
                <w:szCs w:val="20"/>
                <w:lang w:eastAsia="en-US"/>
              </w:rPr>
            </w:pPr>
            <w:r w:rsidRPr="00BC60F2">
              <w:rPr>
                <w:rFonts w:eastAsia="Times New Roman"/>
                <w:bCs/>
                <w:szCs w:val="20"/>
                <w:lang w:eastAsia="en-US"/>
              </w:rPr>
              <w:t>2805.40</w:t>
            </w:r>
          </w:p>
        </w:tc>
      </w:tr>
      <w:tr w:rsidR="00AA6543" w:rsidRPr="00BC60F2" w14:paraId="1835A4BC" w14:textId="77777777" w:rsidTr="00BC60F2">
        <w:tc>
          <w:tcPr>
            <w:tcW w:w="2070" w:type="dxa"/>
          </w:tcPr>
          <w:p w14:paraId="5265B1AF" w14:textId="77777777" w:rsidR="00AA6543" w:rsidRPr="00F35D07" w:rsidRDefault="00AA6543" w:rsidP="00F35D07">
            <w:pPr>
              <w:rPr>
                <w:b/>
                <w:bCs/>
                <w:lang w:eastAsia="en-US"/>
              </w:rPr>
            </w:pPr>
            <w:r w:rsidRPr="00F35D07">
              <w:rPr>
                <w:b/>
                <w:bCs/>
                <w:lang w:eastAsia="en-US"/>
              </w:rPr>
              <w:t>Other numbers</w:t>
            </w:r>
          </w:p>
        </w:tc>
        <w:tc>
          <w:tcPr>
            <w:tcW w:w="7428" w:type="dxa"/>
          </w:tcPr>
          <w:p w14:paraId="225E56D3" w14:textId="77777777" w:rsidR="00AA6543" w:rsidRPr="00BC60F2" w:rsidRDefault="001952C9" w:rsidP="00AA6543">
            <w:pPr>
              <w:rPr>
                <w:rFonts w:eastAsia="Times New Roman"/>
                <w:bCs/>
                <w:szCs w:val="20"/>
                <w:lang w:eastAsia="en-US"/>
              </w:rPr>
            </w:pPr>
            <w:r w:rsidRPr="00BC60F2">
              <w:rPr>
                <w:rFonts w:eastAsia="Times New Roman"/>
                <w:bCs/>
                <w:szCs w:val="20"/>
                <w:lang w:eastAsia="en-US"/>
              </w:rPr>
              <w:t>EC number 231-106-7</w:t>
            </w:r>
          </w:p>
        </w:tc>
      </w:tr>
      <w:tr w:rsidR="00AA6543" w:rsidRPr="00BC60F2" w14:paraId="09FFFC02" w14:textId="77777777" w:rsidTr="00BC60F2">
        <w:tc>
          <w:tcPr>
            <w:tcW w:w="2070" w:type="dxa"/>
          </w:tcPr>
          <w:p w14:paraId="5CFD9018" w14:textId="77777777" w:rsidR="00AA6543" w:rsidRPr="00F35D07" w:rsidRDefault="00AA6543" w:rsidP="00F35D07">
            <w:pPr>
              <w:rPr>
                <w:b/>
                <w:bCs/>
                <w:lang w:eastAsia="en-US"/>
              </w:rPr>
            </w:pPr>
            <w:r w:rsidRPr="00F35D07">
              <w:rPr>
                <w:b/>
                <w:bCs/>
                <w:lang w:eastAsia="en-US"/>
              </w:rPr>
              <w:t>Category</w:t>
            </w:r>
          </w:p>
        </w:tc>
        <w:tc>
          <w:tcPr>
            <w:tcW w:w="7428" w:type="dxa"/>
          </w:tcPr>
          <w:p w14:paraId="068DD3B8" w14:textId="77777777" w:rsidR="00AA6543" w:rsidRPr="00BC60F2" w:rsidRDefault="00E43EE1" w:rsidP="00AA6543">
            <w:pPr>
              <w:rPr>
                <w:rFonts w:eastAsia="Times New Roman"/>
                <w:szCs w:val="20"/>
                <w:lang w:eastAsia="en-US"/>
              </w:rPr>
            </w:pPr>
            <w:r w:rsidRPr="00BC60F2">
              <w:rPr>
                <w:rFonts w:eastAsia="Times New Roman"/>
                <w:szCs w:val="20"/>
                <w:lang w:eastAsia="en-US"/>
              </w:rPr>
              <w:t>Industrial</w:t>
            </w:r>
          </w:p>
        </w:tc>
      </w:tr>
      <w:tr w:rsidR="00AA6543" w:rsidRPr="00BC60F2" w14:paraId="729855F1" w14:textId="77777777" w:rsidTr="00BC60F2">
        <w:tc>
          <w:tcPr>
            <w:tcW w:w="2070" w:type="dxa"/>
          </w:tcPr>
          <w:p w14:paraId="3C739B1D" w14:textId="77777777" w:rsidR="00AA6543" w:rsidRPr="00F35D07" w:rsidRDefault="00AA6543" w:rsidP="00F35D07">
            <w:pPr>
              <w:rPr>
                <w:b/>
                <w:bCs/>
                <w:lang w:eastAsia="en-US"/>
              </w:rPr>
            </w:pPr>
            <w:r w:rsidRPr="00F35D07">
              <w:rPr>
                <w:b/>
                <w:bCs/>
                <w:lang w:eastAsia="en-US"/>
              </w:rPr>
              <w:t>Regulated category</w:t>
            </w:r>
          </w:p>
        </w:tc>
        <w:tc>
          <w:tcPr>
            <w:tcW w:w="7428" w:type="dxa"/>
          </w:tcPr>
          <w:p w14:paraId="3A127ED4" w14:textId="77777777" w:rsidR="00AA6543" w:rsidRPr="00BC60F2" w:rsidRDefault="00E43EE1" w:rsidP="00AA6543">
            <w:pPr>
              <w:rPr>
                <w:rFonts w:eastAsia="Times New Roman"/>
                <w:szCs w:val="20"/>
                <w:lang w:eastAsia="en-US"/>
              </w:rPr>
            </w:pPr>
            <w:r w:rsidRPr="00BC60F2">
              <w:rPr>
                <w:rFonts w:eastAsia="Times New Roman"/>
                <w:szCs w:val="20"/>
                <w:lang w:eastAsia="en-US"/>
              </w:rPr>
              <w:t>Industrial</w:t>
            </w:r>
          </w:p>
        </w:tc>
      </w:tr>
      <w:tr w:rsidR="00AA6543" w:rsidRPr="00BC60F2" w14:paraId="4A07EC09" w14:textId="77777777" w:rsidTr="00BC60F2">
        <w:tc>
          <w:tcPr>
            <w:tcW w:w="2070" w:type="dxa"/>
          </w:tcPr>
          <w:p w14:paraId="5925F0F7" w14:textId="77777777" w:rsidR="00AA6543" w:rsidRPr="00F35D07" w:rsidRDefault="00AA6543" w:rsidP="00F35D07">
            <w:pPr>
              <w:rPr>
                <w:b/>
                <w:bCs/>
                <w:lang w:eastAsia="en-US"/>
              </w:rPr>
            </w:pPr>
            <w:r w:rsidRPr="00F35D07">
              <w:rPr>
                <w:b/>
                <w:bCs/>
                <w:lang w:eastAsia="en-US"/>
              </w:rPr>
              <w:t>Use(s) in regulated category</w:t>
            </w:r>
          </w:p>
        </w:tc>
        <w:tc>
          <w:tcPr>
            <w:tcW w:w="7428" w:type="dxa"/>
          </w:tcPr>
          <w:p w14:paraId="1F9A1BA9" w14:textId="77777777" w:rsidR="00AA6543" w:rsidRPr="00BC60F2" w:rsidRDefault="00E43EE1" w:rsidP="00AA6543">
            <w:pPr>
              <w:rPr>
                <w:rFonts w:eastAsia="Times New Roman"/>
                <w:szCs w:val="20"/>
                <w:lang w:eastAsia="en-US"/>
              </w:rPr>
            </w:pPr>
            <w:r w:rsidRPr="00BC60F2">
              <w:rPr>
                <w:rFonts w:eastAsia="Times New Roman"/>
                <w:szCs w:val="20"/>
                <w:lang w:eastAsia="en-US"/>
              </w:rPr>
              <w:t xml:space="preserve">In Colombia, mercury was used in mining, chlor-alkali industry, production of </w:t>
            </w:r>
            <w:r w:rsidR="00D86E92">
              <w:rPr>
                <w:rFonts w:eastAsia="Times New Roman"/>
                <w:szCs w:val="20"/>
                <w:lang w:eastAsia="en-US"/>
              </w:rPr>
              <w:t>fluorescent</w:t>
            </w:r>
            <w:r w:rsidRPr="00BC60F2">
              <w:rPr>
                <w:rFonts w:eastAsia="Times New Roman"/>
                <w:szCs w:val="20"/>
                <w:lang w:eastAsia="en-US"/>
              </w:rPr>
              <w:t xml:space="preserve"> lamps and </w:t>
            </w:r>
            <w:r w:rsidR="00286D77">
              <w:rPr>
                <w:rFonts w:eastAsia="Times New Roman"/>
                <w:szCs w:val="20"/>
                <w:lang w:eastAsia="en-US"/>
              </w:rPr>
              <w:t xml:space="preserve">in the </w:t>
            </w:r>
            <w:r w:rsidRPr="00BC60F2">
              <w:rPr>
                <w:rFonts w:eastAsia="Times New Roman"/>
                <w:szCs w:val="20"/>
                <w:lang w:eastAsia="en-US"/>
              </w:rPr>
              <w:t xml:space="preserve">manufacture of dental amalgams. The final regulatory action prohibited </w:t>
            </w:r>
            <w:r w:rsidR="00980996" w:rsidRPr="00A0756D">
              <w:rPr>
                <w:rFonts w:eastAsia="Times New Roman"/>
                <w:szCs w:val="20"/>
                <w:lang w:eastAsia="en-US"/>
              </w:rPr>
              <w:t>the marketing and use of mercury in the</w:t>
            </w:r>
            <w:r w:rsidR="00980996">
              <w:rPr>
                <w:rFonts w:eastAsia="Times New Roman"/>
                <w:szCs w:val="20"/>
                <w:lang w:eastAsia="en-US"/>
              </w:rPr>
              <w:t xml:space="preserve"> </w:t>
            </w:r>
            <w:r w:rsidR="00980996" w:rsidRPr="00A0756D">
              <w:rPr>
                <w:rFonts w:eastAsia="Times New Roman"/>
                <w:szCs w:val="20"/>
                <w:lang w:eastAsia="en-US"/>
              </w:rPr>
              <w:t xml:space="preserve">different industrial activities </w:t>
            </w:r>
            <w:r w:rsidR="00980996">
              <w:rPr>
                <w:rFonts w:eastAsia="Times New Roman"/>
                <w:szCs w:val="20"/>
                <w:lang w:eastAsia="en-US"/>
              </w:rPr>
              <w:t>on</w:t>
            </w:r>
            <w:r w:rsidR="00980996" w:rsidRPr="00A0756D">
              <w:rPr>
                <w:rFonts w:eastAsia="Times New Roman"/>
                <w:szCs w:val="20"/>
                <w:lang w:eastAsia="en-US"/>
              </w:rPr>
              <w:t xml:space="preserve"> July</w:t>
            </w:r>
            <w:r w:rsidR="00980996">
              <w:rPr>
                <w:rFonts w:eastAsia="Times New Roman"/>
                <w:szCs w:val="20"/>
                <w:lang w:eastAsia="en-US"/>
              </w:rPr>
              <w:t xml:space="preserve"> </w:t>
            </w:r>
            <w:r w:rsidR="00980996" w:rsidRPr="00A0756D">
              <w:rPr>
                <w:rFonts w:eastAsia="Times New Roman"/>
                <w:szCs w:val="20"/>
                <w:lang w:eastAsia="en-US"/>
              </w:rPr>
              <w:t>15, 2013</w:t>
            </w:r>
            <w:r w:rsidR="00980996">
              <w:rPr>
                <w:rFonts w:eastAsia="Times New Roman"/>
                <w:szCs w:val="20"/>
                <w:lang w:eastAsia="en-US"/>
              </w:rPr>
              <w:t xml:space="preserve">, </w:t>
            </w:r>
            <w:r w:rsidRPr="00BC60F2">
              <w:rPr>
                <w:rFonts w:eastAsia="Times New Roman"/>
                <w:szCs w:val="20"/>
                <w:lang w:eastAsia="en-US"/>
              </w:rPr>
              <w:t xml:space="preserve">the use of mercury in mining activities </w:t>
            </w:r>
            <w:r w:rsidR="00980996">
              <w:rPr>
                <w:rFonts w:eastAsia="Times New Roman"/>
                <w:szCs w:val="20"/>
                <w:lang w:eastAsia="en-US"/>
              </w:rPr>
              <w:t>from July</w:t>
            </w:r>
            <w:r w:rsidRPr="00BC60F2">
              <w:rPr>
                <w:rFonts w:eastAsia="Times New Roman"/>
                <w:szCs w:val="20"/>
                <w:lang w:eastAsia="en-US"/>
              </w:rPr>
              <w:t xml:space="preserve"> 15, 2018, and all other industrial activities </w:t>
            </w:r>
            <w:r w:rsidR="00980996">
              <w:rPr>
                <w:rFonts w:eastAsia="Times New Roman"/>
                <w:szCs w:val="20"/>
                <w:lang w:eastAsia="en-US"/>
              </w:rPr>
              <w:t>including</w:t>
            </w:r>
            <w:r w:rsidRPr="00BC60F2">
              <w:rPr>
                <w:rFonts w:eastAsia="Times New Roman"/>
                <w:szCs w:val="20"/>
                <w:lang w:eastAsia="en-US"/>
              </w:rPr>
              <w:t xml:space="preserve"> the manufacture of dental amalgams </w:t>
            </w:r>
            <w:r w:rsidR="00980996">
              <w:rPr>
                <w:rFonts w:eastAsia="Times New Roman"/>
                <w:szCs w:val="20"/>
                <w:lang w:eastAsia="en-US"/>
              </w:rPr>
              <w:t>from</w:t>
            </w:r>
            <w:r w:rsidRPr="00BC60F2">
              <w:rPr>
                <w:rFonts w:eastAsia="Times New Roman"/>
                <w:szCs w:val="20"/>
                <w:lang w:eastAsia="en-US"/>
              </w:rPr>
              <w:t xml:space="preserve"> July 15, 2023.</w:t>
            </w:r>
          </w:p>
          <w:p w14:paraId="7623D365" w14:textId="77777777" w:rsidR="001C665C" w:rsidRDefault="00E43EE1" w:rsidP="00AA6543">
            <w:pPr>
              <w:rPr>
                <w:rFonts w:eastAsia="Times New Roman"/>
                <w:szCs w:val="20"/>
                <w:lang w:eastAsia="en-US"/>
              </w:rPr>
            </w:pPr>
            <w:r w:rsidRPr="00BC60F2">
              <w:rPr>
                <w:rFonts w:eastAsia="Times New Roman"/>
                <w:szCs w:val="20"/>
                <w:lang w:eastAsia="en-US"/>
              </w:rPr>
              <w:t>In the European Union, mercury was used</w:t>
            </w:r>
            <w:r w:rsidR="001952C9" w:rsidRPr="00BC60F2">
              <w:rPr>
                <w:rFonts w:eastAsia="Times New Roman"/>
                <w:szCs w:val="20"/>
                <w:lang w:eastAsia="en-US"/>
              </w:rPr>
              <w:t xml:space="preserve"> </w:t>
            </w:r>
            <w:r w:rsidR="00D609EE">
              <w:rPr>
                <w:rFonts w:eastAsia="Times New Roman"/>
                <w:szCs w:val="20"/>
                <w:lang w:eastAsia="en-US"/>
              </w:rPr>
              <w:t xml:space="preserve">in </w:t>
            </w:r>
            <w:r w:rsidR="001952C9" w:rsidRPr="00BC60F2">
              <w:rPr>
                <w:rFonts w:eastAsia="Times New Roman"/>
                <w:szCs w:val="20"/>
                <w:lang w:eastAsia="en-US"/>
              </w:rPr>
              <w:t>mining,</w:t>
            </w:r>
            <w:r w:rsidRPr="00BC60F2">
              <w:rPr>
                <w:rFonts w:eastAsia="Times New Roman"/>
                <w:szCs w:val="20"/>
                <w:lang w:eastAsia="en-US"/>
              </w:rPr>
              <w:t xml:space="preserve"> </w:t>
            </w:r>
            <w:r w:rsidR="001952C9" w:rsidRPr="00BC60F2">
              <w:rPr>
                <w:rFonts w:eastAsia="Times New Roman"/>
                <w:szCs w:val="20"/>
                <w:lang w:eastAsia="en-US"/>
              </w:rPr>
              <w:t xml:space="preserve">chlor-alkali industry, the production of lamps, </w:t>
            </w:r>
            <w:r w:rsidR="00476BF9" w:rsidRPr="00BC60F2">
              <w:rPr>
                <w:rFonts w:eastAsia="Times New Roman"/>
                <w:szCs w:val="20"/>
                <w:lang w:eastAsia="en-US"/>
              </w:rPr>
              <w:t xml:space="preserve">electrical and </w:t>
            </w:r>
            <w:r w:rsidR="001952C9" w:rsidRPr="00BC60F2">
              <w:rPr>
                <w:rFonts w:eastAsia="Times New Roman"/>
                <w:szCs w:val="20"/>
                <w:lang w:eastAsia="en-US"/>
              </w:rPr>
              <w:t>electronic devices. The final regulatory action notified by the European Union severely restricts the industrial use of mercury in several sectors through different Directives and Regulations.</w:t>
            </w:r>
          </w:p>
          <w:p w14:paraId="5771C1F3" w14:textId="77777777" w:rsidR="001C665C" w:rsidRDefault="001C665C" w:rsidP="001C665C">
            <w:pPr>
              <w:rPr>
                <w:rFonts w:eastAsia="Times New Roman"/>
                <w:szCs w:val="20"/>
                <w:lang w:eastAsia="en-US"/>
              </w:rPr>
            </w:pPr>
            <w:r w:rsidRPr="00CB5B69">
              <w:rPr>
                <w:rFonts w:eastAsia="Times New Roman"/>
                <w:szCs w:val="20"/>
                <w:lang w:eastAsia="en-US"/>
              </w:rPr>
              <w:t xml:space="preserve">The </w:t>
            </w:r>
            <w:hyperlink r:id="rId14" w:history="1">
              <w:r w:rsidRPr="005E671E">
                <w:rPr>
                  <w:rStyle w:val="Hyperlink"/>
                  <w:rFonts w:eastAsia="Times New Roman"/>
                  <w:szCs w:val="20"/>
                  <w:lang w:eastAsia="en-US"/>
                </w:rPr>
                <w:t>Minamata Convention on Mercury</w:t>
              </w:r>
            </w:hyperlink>
            <w:r w:rsidRPr="00CB5B69">
              <w:rPr>
                <w:rFonts w:eastAsia="Times New Roman"/>
                <w:szCs w:val="20"/>
                <w:lang w:eastAsia="en-US"/>
              </w:rPr>
              <w:t xml:space="preserve"> </w:t>
            </w:r>
            <w:r>
              <w:rPr>
                <w:rFonts w:eastAsia="Times New Roman"/>
                <w:szCs w:val="20"/>
                <w:lang w:eastAsia="en-US"/>
              </w:rPr>
              <w:t>aims to</w:t>
            </w:r>
            <w:r w:rsidRPr="008B4961">
              <w:rPr>
                <w:rFonts w:eastAsia="Times New Roman"/>
                <w:szCs w:val="20"/>
                <w:lang w:eastAsia="en-US"/>
              </w:rPr>
              <w:t xml:space="preserve"> protect human health and the environment from anthropogenic emissions and releases of mercury and mercury compounds</w:t>
            </w:r>
            <w:r>
              <w:rPr>
                <w:rFonts w:eastAsia="Times New Roman"/>
                <w:szCs w:val="20"/>
                <w:lang w:eastAsia="en-US"/>
              </w:rPr>
              <w:t>. The Convention</w:t>
            </w:r>
            <w:r w:rsidRPr="00CB5B69">
              <w:rPr>
                <w:rFonts w:eastAsia="Times New Roman"/>
                <w:szCs w:val="20"/>
                <w:lang w:eastAsia="en-US"/>
              </w:rPr>
              <w:t xml:space="preserve"> addresses all aspects of the life cycle of mercury</w:t>
            </w:r>
            <w:r>
              <w:rPr>
                <w:rFonts w:eastAsia="Times New Roman"/>
                <w:szCs w:val="20"/>
                <w:lang w:eastAsia="en-US"/>
              </w:rPr>
              <w:t>, including:</w:t>
            </w:r>
          </w:p>
          <w:p w14:paraId="422A75A6" w14:textId="77777777" w:rsidR="001C665C" w:rsidRDefault="001C665C" w:rsidP="001C665C">
            <w:pPr>
              <w:numPr>
                <w:ilvl w:val="0"/>
                <w:numId w:val="43"/>
              </w:numPr>
              <w:rPr>
                <w:rFonts w:eastAsia="Times New Roman"/>
                <w:szCs w:val="20"/>
                <w:lang w:eastAsia="en-US"/>
              </w:rPr>
            </w:pPr>
            <w:r w:rsidRPr="0010078E">
              <w:rPr>
                <w:rFonts w:eastAsia="Times New Roman"/>
                <w:szCs w:val="20"/>
                <w:lang w:eastAsia="en-US"/>
              </w:rPr>
              <w:t xml:space="preserve">the direct mining of mercury, its export and import, its safe </w:t>
            </w:r>
            <w:proofErr w:type="gramStart"/>
            <w:r w:rsidRPr="0010078E">
              <w:rPr>
                <w:rFonts w:eastAsia="Times New Roman"/>
                <w:szCs w:val="20"/>
                <w:lang w:eastAsia="en-US"/>
              </w:rPr>
              <w:t>storage</w:t>
            </w:r>
            <w:proofErr w:type="gramEnd"/>
            <w:r w:rsidRPr="0010078E">
              <w:rPr>
                <w:rFonts w:eastAsia="Times New Roman"/>
                <w:szCs w:val="20"/>
                <w:lang w:eastAsia="en-US"/>
              </w:rPr>
              <w:t xml:space="preserve"> and its disposal once </w:t>
            </w:r>
            <w:r>
              <w:rPr>
                <w:rFonts w:eastAsia="Times New Roman"/>
                <w:szCs w:val="20"/>
                <w:lang w:eastAsia="en-US"/>
              </w:rPr>
              <w:t>it becomes</w:t>
            </w:r>
            <w:r w:rsidRPr="0010078E">
              <w:rPr>
                <w:rFonts w:eastAsia="Times New Roman"/>
                <w:szCs w:val="20"/>
                <w:lang w:eastAsia="en-US"/>
              </w:rPr>
              <w:t xml:space="preserve"> waste</w:t>
            </w:r>
            <w:r>
              <w:rPr>
                <w:rFonts w:eastAsia="Times New Roman"/>
                <w:szCs w:val="20"/>
                <w:lang w:eastAsia="en-US"/>
              </w:rPr>
              <w:t>,</w:t>
            </w:r>
          </w:p>
          <w:p w14:paraId="71F02A22" w14:textId="77777777" w:rsidR="001C665C" w:rsidRDefault="001C665C" w:rsidP="001C665C">
            <w:pPr>
              <w:numPr>
                <w:ilvl w:val="0"/>
                <w:numId w:val="43"/>
              </w:numPr>
              <w:rPr>
                <w:rFonts w:eastAsia="Times New Roman"/>
                <w:szCs w:val="20"/>
                <w:lang w:eastAsia="en-US"/>
              </w:rPr>
            </w:pPr>
            <w:r>
              <w:rPr>
                <w:rFonts w:eastAsia="Times New Roman"/>
                <w:szCs w:val="20"/>
                <w:lang w:eastAsia="en-US"/>
              </w:rPr>
              <w:t>the r</w:t>
            </w:r>
            <w:r w:rsidRPr="000E6AD9">
              <w:rPr>
                <w:rFonts w:eastAsia="Times New Roman"/>
                <w:szCs w:val="20"/>
                <w:lang w:eastAsia="en-US"/>
              </w:rPr>
              <w:t>educ</w:t>
            </w:r>
            <w:r>
              <w:rPr>
                <w:rFonts w:eastAsia="Times New Roman"/>
                <w:szCs w:val="20"/>
                <w:lang w:eastAsia="en-US"/>
              </w:rPr>
              <w:t>tion</w:t>
            </w:r>
            <w:r w:rsidRPr="000E6AD9">
              <w:rPr>
                <w:rFonts w:eastAsia="Times New Roman"/>
                <w:szCs w:val="20"/>
                <w:lang w:eastAsia="en-US"/>
              </w:rPr>
              <w:t xml:space="preserve"> and where feasible </w:t>
            </w:r>
            <w:r>
              <w:rPr>
                <w:rFonts w:eastAsia="Times New Roman"/>
                <w:szCs w:val="20"/>
                <w:lang w:eastAsia="en-US"/>
              </w:rPr>
              <w:t xml:space="preserve">the </w:t>
            </w:r>
            <w:r w:rsidRPr="000E6AD9">
              <w:rPr>
                <w:rFonts w:eastAsia="Times New Roman"/>
                <w:szCs w:val="20"/>
                <w:lang w:eastAsia="en-US"/>
              </w:rPr>
              <w:t>eliminat</w:t>
            </w:r>
            <w:r>
              <w:rPr>
                <w:rFonts w:eastAsia="Times New Roman"/>
                <w:szCs w:val="20"/>
                <w:lang w:eastAsia="en-US"/>
              </w:rPr>
              <w:t>ion of</w:t>
            </w:r>
            <w:r w:rsidRPr="000E6AD9">
              <w:rPr>
                <w:rFonts w:eastAsia="Times New Roman"/>
                <w:szCs w:val="20"/>
                <w:lang w:eastAsia="en-US"/>
              </w:rPr>
              <w:t xml:space="preserve"> the use and release of mercury from artisanal and small-scale gold mining</w:t>
            </w:r>
            <w:r>
              <w:rPr>
                <w:rFonts w:eastAsia="Times New Roman"/>
                <w:szCs w:val="20"/>
                <w:lang w:eastAsia="en-US"/>
              </w:rPr>
              <w:t>,</w:t>
            </w:r>
          </w:p>
          <w:p w14:paraId="258D4979" w14:textId="77777777" w:rsidR="001C665C" w:rsidRDefault="001C665C" w:rsidP="001C665C">
            <w:pPr>
              <w:numPr>
                <w:ilvl w:val="0"/>
                <w:numId w:val="43"/>
              </w:numPr>
              <w:rPr>
                <w:rFonts w:eastAsia="Times New Roman"/>
                <w:szCs w:val="20"/>
                <w:lang w:eastAsia="en-US"/>
              </w:rPr>
            </w:pPr>
            <w:r>
              <w:rPr>
                <w:rFonts w:eastAsia="Times New Roman"/>
                <w:szCs w:val="20"/>
                <w:lang w:eastAsia="en-US"/>
              </w:rPr>
              <w:t>the c</w:t>
            </w:r>
            <w:r w:rsidRPr="000E6AD9">
              <w:rPr>
                <w:rFonts w:eastAsia="Times New Roman"/>
                <w:szCs w:val="20"/>
                <w:lang w:eastAsia="en-US"/>
              </w:rPr>
              <w:t>ontrol</w:t>
            </w:r>
            <w:r>
              <w:rPr>
                <w:rFonts w:eastAsia="Times New Roman"/>
                <w:szCs w:val="20"/>
                <w:lang w:eastAsia="en-US"/>
              </w:rPr>
              <w:t xml:space="preserve"> of</w:t>
            </w:r>
            <w:r w:rsidRPr="000E6AD9">
              <w:rPr>
                <w:rFonts w:eastAsia="Times New Roman"/>
                <w:szCs w:val="20"/>
                <w:lang w:eastAsia="en-US"/>
              </w:rPr>
              <w:t xml:space="preserve"> mercury air emissions from coal-fired power plants, coal-fired industrial boilers, certain non-ferrous metals production operations, waste incineration and cement production</w:t>
            </w:r>
            <w:r>
              <w:rPr>
                <w:rFonts w:eastAsia="Times New Roman"/>
                <w:szCs w:val="20"/>
                <w:lang w:eastAsia="en-US"/>
              </w:rPr>
              <w:t>,</w:t>
            </w:r>
          </w:p>
          <w:p w14:paraId="384868D2" w14:textId="77777777" w:rsidR="001C665C" w:rsidRDefault="001C665C" w:rsidP="001C665C">
            <w:pPr>
              <w:numPr>
                <w:ilvl w:val="0"/>
                <w:numId w:val="43"/>
              </w:numPr>
              <w:rPr>
                <w:rFonts w:eastAsia="Times New Roman"/>
                <w:szCs w:val="20"/>
                <w:lang w:eastAsia="en-US"/>
              </w:rPr>
            </w:pPr>
            <w:r>
              <w:rPr>
                <w:rFonts w:eastAsia="Times New Roman"/>
                <w:szCs w:val="20"/>
                <w:lang w:eastAsia="en-US"/>
              </w:rPr>
              <w:t>the p</w:t>
            </w:r>
            <w:r w:rsidRPr="000E6AD9">
              <w:rPr>
                <w:rFonts w:eastAsia="Times New Roman"/>
                <w:szCs w:val="20"/>
                <w:lang w:eastAsia="en-US"/>
              </w:rPr>
              <w:t>hase-out or reduc</w:t>
            </w:r>
            <w:r>
              <w:rPr>
                <w:rFonts w:eastAsia="Times New Roman"/>
                <w:szCs w:val="20"/>
                <w:lang w:eastAsia="en-US"/>
              </w:rPr>
              <w:t>tion of</w:t>
            </w:r>
            <w:r w:rsidRPr="000E6AD9">
              <w:rPr>
                <w:rFonts w:eastAsia="Times New Roman"/>
                <w:szCs w:val="20"/>
                <w:lang w:eastAsia="en-US"/>
              </w:rPr>
              <w:t xml:space="preserve"> mercury use in certain products such as batteries, switches, lights, cosmetics, pesticides and measuring devices, and creat</w:t>
            </w:r>
            <w:r>
              <w:rPr>
                <w:rFonts w:eastAsia="Times New Roman"/>
                <w:szCs w:val="20"/>
                <w:lang w:eastAsia="en-US"/>
              </w:rPr>
              <w:t>ing</w:t>
            </w:r>
            <w:r w:rsidRPr="000E6AD9">
              <w:rPr>
                <w:rFonts w:eastAsia="Times New Roman"/>
                <w:szCs w:val="20"/>
                <w:lang w:eastAsia="en-US"/>
              </w:rPr>
              <w:t xml:space="preserve"> initiatives to reduce the use of mercury in dental amalgam</w:t>
            </w:r>
            <w:r>
              <w:rPr>
                <w:rFonts w:eastAsia="Times New Roman"/>
                <w:szCs w:val="20"/>
                <w:lang w:eastAsia="en-US"/>
              </w:rPr>
              <w:t>, and</w:t>
            </w:r>
          </w:p>
          <w:p w14:paraId="4CEA0D2A" w14:textId="77777777" w:rsidR="001C665C" w:rsidRPr="00803F46" w:rsidRDefault="001C665C" w:rsidP="00AA6543">
            <w:pPr>
              <w:numPr>
                <w:ilvl w:val="0"/>
                <w:numId w:val="43"/>
              </w:numPr>
              <w:rPr>
                <w:rFonts w:eastAsia="Times New Roman"/>
                <w:szCs w:val="20"/>
                <w:lang w:eastAsia="en-US"/>
              </w:rPr>
            </w:pPr>
            <w:r>
              <w:rPr>
                <w:rFonts w:eastAsia="Times New Roman"/>
                <w:szCs w:val="20"/>
                <w:lang w:eastAsia="en-US"/>
              </w:rPr>
              <w:t>the p</w:t>
            </w:r>
            <w:r w:rsidRPr="000E6AD9">
              <w:rPr>
                <w:rFonts w:eastAsia="Times New Roman"/>
                <w:szCs w:val="20"/>
                <w:lang w:eastAsia="en-US"/>
              </w:rPr>
              <w:t>hase out or reduc</w:t>
            </w:r>
            <w:r>
              <w:rPr>
                <w:rFonts w:eastAsia="Times New Roman"/>
                <w:szCs w:val="20"/>
                <w:lang w:eastAsia="en-US"/>
              </w:rPr>
              <w:t>tion of</w:t>
            </w:r>
            <w:r w:rsidRPr="000E6AD9">
              <w:rPr>
                <w:rFonts w:eastAsia="Times New Roman"/>
                <w:szCs w:val="20"/>
                <w:lang w:eastAsia="en-US"/>
              </w:rPr>
              <w:t xml:space="preserve"> the use of mercury in manufacturing processes such as chlor-alkali production, vinyl chloride monomer production, and acetaldehyde production</w:t>
            </w:r>
          </w:p>
        </w:tc>
      </w:tr>
      <w:tr w:rsidR="00AA6543" w:rsidRPr="00BC60F2" w14:paraId="0DE55FCE" w14:textId="77777777" w:rsidTr="00BC60F2">
        <w:tc>
          <w:tcPr>
            <w:tcW w:w="2070" w:type="dxa"/>
          </w:tcPr>
          <w:p w14:paraId="2CF6DEB3" w14:textId="77777777" w:rsidR="00AA6543" w:rsidRPr="00F35D07" w:rsidRDefault="00AA6543" w:rsidP="00F35D07">
            <w:pPr>
              <w:rPr>
                <w:b/>
                <w:bCs/>
                <w:lang w:eastAsia="en-US"/>
              </w:rPr>
            </w:pPr>
            <w:r w:rsidRPr="00F35D07">
              <w:rPr>
                <w:b/>
                <w:bCs/>
                <w:lang w:eastAsia="en-US"/>
              </w:rPr>
              <w:t>Trade names</w:t>
            </w:r>
          </w:p>
        </w:tc>
        <w:tc>
          <w:tcPr>
            <w:tcW w:w="7428" w:type="dxa"/>
          </w:tcPr>
          <w:p w14:paraId="15CA532B" w14:textId="77777777" w:rsidR="00AA6543" w:rsidRPr="00BC60F2" w:rsidRDefault="00A901DD" w:rsidP="00BC60F2">
            <w:pPr>
              <w:rPr>
                <w:rFonts w:eastAsia="Times New Roman"/>
                <w:szCs w:val="20"/>
                <w:lang w:val="en-US" w:eastAsia="en-US"/>
              </w:rPr>
            </w:pPr>
            <w:r w:rsidRPr="00BC60F2">
              <w:rPr>
                <w:rFonts w:eastAsia="Times New Roman"/>
                <w:szCs w:val="20"/>
                <w:lang w:eastAsia="en-US"/>
              </w:rPr>
              <w:t xml:space="preserve">Colloidal mercury, </w:t>
            </w:r>
            <w:r w:rsidR="00B4178D" w:rsidRPr="00BC60F2">
              <w:rPr>
                <w:rFonts w:eastAsia="Times New Roman"/>
                <w:szCs w:val="20"/>
                <w:lang w:eastAsia="en-US"/>
              </w:rPr>
              <w:t>Quicksil</w:t>
            </w:r>
            <w:r w:rsidR="005C1A50">
              <w:rPr>
                <w:rFonts w:eastAsia="Times New Roman"/>
                <w:szCs w:val="20"/>
                <w:lang w:eastAsia="en-US"/>
              </w:rPr>
              <w:t>v</w:t>
            </w:r>
            <w:r w:rsidR="00B4178D" w:rsidRPr="00BC60F2">
              <w:rPr>
                <w:rFonts w:eastAsia="Times New Roman"/>
                <w:szCs w:val="20"/>
                <w:lang w:eastAsia="en-US"/>
              </w:rPr>
              <w:t>er, Liquid silver, Hydrargyrum</w:t>
            </w:r>
            <w:r w:rsidR="00BC60F2">
              <w:rPr>
                <w:rFonts w:eastAsia="Times New Roman"/>
                <w:szCs w:val="20"/>
                <w:lang w:eastAsia="en-US"/>
              </w:rPr>
              <w:t xml:space="preserve">. </w:t>
            </w:r>
            <w:r w:rsidR="00AA6543" w:rsidRPr="00BC60F2">
              <w:rPr>
                <w:rFonts w:eastAsia="Times New Roman"/>
                <w:i/>
                <w:szCs w:val="20"/>
                <w:lang w:val="en-US" w:eastAsia="en-US"/>
              </w:rPr>
              <w:t xml:space="preserve">This is an indicative list. It is not intended to be exhaustive. </w:t>
            </w:r>
          </w:p>
        </w:tc>
      </w:tr>
      <w:tr w:rsidR="00AA6543" w:rsidRPr="00BC60F2" w14:paraId="071CA56B" w14:textId="77777777" w:rsidTr="00BC60F2">
        <w:tc>
          <w:tcPr>
            <w:tcW w:w="2070" w:type="dxa"/>
          </w:tcPr>
          <w:p w14:paraId="33992ABE" w14:textId="77777777" w:rsidR="00AA6543" w:rsidRPr="00F35D07" w:rsidRDefault="00AA6543" w:rsidP="00F35D07">
            <w:pPr>
              <w:rPr>
                <w:b/>
                <w:bCs/>
                <w:lang w:eastAsia="en-US"/>
              </w:rPr>
            </w:pPr>
            <w:r w:rsidRPr="00F35D07">
              <w:rPr>
                <w:b/>
                <w:bCs/>
                <w:lang w:eastAsia="en-US"/>
              </w:rPr>
              <w:t>Formulation types</w:t>
            </w:r>
          </w:p>
        </w:tc>
        <w:tc>
          <w:tcPr>
            <w:tcW w:w="7428" w:type="dxa"/>
          </w:tcPr>
          <w:p w14:paraId="16098AC0" w14:textId="77777777" w:rsidR="00AA6543" w:rsidRPr="00BC60F2" w:rsidRDefault="00BB3E51" w:rsidP="00BB3E51">
            <w:pPr>
              <w:spacing w:after="80"/>
              <w:rPr>
                <w:rFonts w:eastAsia="Times New Roman"/>
                <w:szCs w:val="20"/>
                <w:lang w:eastAsia="en-US"/>
              </w:rPr>
            </w:pPr>
            <w:r w:rsidRPr="00BC60F2">
              <w:rPr>
                <w:rFonts w:eastAsia="Times New Roman"/>
                <w:szCs w:val="20"/>
                <w:lang w:eastAsia="en-US"/>
              </w:rPr>
              <w:t>Elemental Mercury</w:t>
            </w:r>
          </w:p>
        </w:tc>
      </w:tr>
      <w:tr w:rsidR="00AA6543" w:rsidRPr="00BC60F2" w14:paraId="3C5A2F62" w14:textId="77777777" w:rsidTr="00BC60F2">
        <w:tc>
          <w:tcPr>
            <w:tcW w:w="2070" w:type="dxa"/>
          </w:tcPr>
          <w:p w14:paraId="7102C027" w14:textId="77777777" w:rsidR="00AA6543" w:rsidRPr="00F35D07" w:rsidRDefault="00AA6543" w:rsidP="00F35D07">
            <w:pPr>
              <w:rPr>
                <w:b/>
                <w:bCs/>
                <w:lang w:eastAsia="en-US"/>
              </w:rPr>
            </w:pPr>
            <w:r w:rsidRPr="00F35D07">
              <w:rPr>
                <w:b/>
                <w:bCs/>
                <w:lang w:eastAsia="en-US"/>
              </w:rPr>
              <w:t>Uses in other categories</w:t>
            </w:r>
          </w:p>
        </w:tc>
        <w:tc>
          <w:tcPr>
            <w:tcW w:w="7428" w:type="dxa"/>
          </w:tcPr>
          <w:p w14:paraId="1192808C" w14:textId="77777777" w:rsidR="00AA6543" w:rsidRPr="00BC60F2" w:rsidRDefault="00476BF9" w:rsidP="00B1179D">
            <w:pPr>
              <w:spacing w:after="80"/>
              <w:rPr>
                <w:rFonts w:eastAsia="Times New Roman"/>
                <w:szCs w:val="20"/>
                <w:lang w:eastAsia="en-US"/>
              </w:rPr>
            </w:pPr>
            <w:r w:rsidRPr="00BC60F2">
              <w:rPr>
                <w:szCs w:val="20"/>
              </w:rPr>
              <w:t>Use as a chemical intermediate in the manufacture of various industrial chemicals</w:t>
            </w:r>
            <w:r w:rsidR="003C74C6" w:rsidRPr="00BC60F2">
              <w:rPr>
                <w:szCs w:val="20"/>
              </w:rPr>
              <w:t xml:space="preserve"> and processes (UNEP 2017)</w:t>
            </w:r>
            <w:r w:rsidRPr="00BC60F2">
              <w:rPr>
                <w:szCs w:val="20"/>
              </w:rPr>
              <w:t>.</w:t>
            </w:r>
          </w:p>
        </w:tc>
      </w:tr>
      <w:tr w:rsidR="00AA6543" w:rsidRPr="00BC60F2" w14:paraId="5F31B631" w14:textId="77777777" w:rsidTr="00BC60F2">
        <w:tc>
          <w:tcPr>
            <w:tcW w:w="2070" w:type="dxa"/>
          </w:tcPr>
          <w:p w14:paraId="6AD8A91A" w14:textId="77777777" w:rsidR="00AA6543" w:rsidRPr="00F35D07" w:rsidRDefault="00AA6543" w:rsidP="00F35D07">
            <w:pPr>
              <w:rPr>
                <w:b/>
                <w:bCs/>
                <w:lang w:eastAsia="en-US"/>
              </w:rPr>
            </w:pPr>
            <w:r w:rsidRPr="00F35D07">
              <w:rPr>
                <w:b/>
                <w:bCs/>
                <w:lang w:eastAsia="en-US"/>
              </w:rPr>
              <w:lastRenderedPageBreak/>
              <w:t>Basic manufacturers</w:t>
            </w:r>
          </w:p>
        </w:tc>
        <w:tc>
          <w:tcPr>
            <w:tcW w:w="7428" w:type="dxa"/>
          </w:tcPr>
          <w:p w14:paraId="14DC36DF" w14:textId="77777777" w:rsidR="00AA6543" w:rsidRPr="00BC60F2" w:rsidRDefault="00BB3E51" w:rsidP="00BB3E51">
            <w:pPr>
              <w:spacing w:after="80"/>
              <w:rPr>
                <w:rFonts w:eastAsia="Times New Roman"/>
                <w:szCs w:val="20"/>
                <w:lang w:eastAsia="en-US"/>
              </w:rPr>
            </w:pPr>
            <w:r w:rsidRPr="00BC60F2">
              <w:rPr>
                <w:rFonts w:eastAsia="Times New Roman"/>
                <w:szCs w:val="20"/>
                <w:lang w:eastAsia="en-US"/>
              </w:rPr>
              <w:t>Avantor, Inc. (</w:t>
            </w:r>
            <w:proofErr w:type="spellStart"/>
            <w:r w:rsidRPr="00BC60F2">
              <w:rPr>
                <w:rFonts w:eastAsia="Times New Roman"/>
                <w:szCs w:val="20"/>
                <w:lang w:eastAsia="en-US"/>
              </w:rPr>
              <w:t>Thermo</w:t>
            </w:r>
            <w:proofErr w:type="spellEnd"/>
            <w:r w:rsidRPr="00BC60F2">
              <w:rPr>
                <w:rFonts w:eastAsia="Times New Roman"/>
                <w:szCs w:val="20"/>
                <w:lang w:eastAsia="en-US"/>
              </w:rPr>
              <w:t xml:space="preserve"> Fisher Scientific), AHSA, </w:t>
            </w:r>
            <w:proofErr w:type="spellStart"/>
            <w:r w:rsidRPr="00BC60F2">
              <w:rPr>
                <w:rFonts w:eastAsia="Times New Roman"/>
                <w:szCs w:val="20"/>
                <w:lang w:eastAsia="en-US"/>
              </w:rPr>
              <w:t>Aldrett</w:t>
            </w:r>
            <w:proofErr w:type="spellEnd"/>
            <w:r w:rsidRPr="00BC60F2">
              <w:rPr>
                <w:rFonts w:eastAsia="Times New Roman"/>
                <w:szCs w:val="20"/>
                <w:lang w:eastAsia="en-US"/>
              </w:rPr>
              <w:t xml:space="preserve"> Hermanos SA de CV., Merck </w:t>
            </w:r>
            <w:proofErr w:type="spellStart"/>
            <w:r w:rsidRPr="00BC60F2">
              <w:rPr>
                <w:rFonts w:eastAsia="Times New Roman"/>
                <w:szCs w:val="20"/>
                <w:lang w:eastAsia="en-US"/>
              </w:rPr>
              <w:t>KGaA</w:t>
            </w:r>
            <w:proofErr w:type="spellEnd"/>
            <w:r w:rsidRPr="00BC60F2">
              <w:rPr>
                <w:rFonts w:eastAsia="Times New Roman"/>
                <w:szCs w:val="20"/>
                <w:lang w:eastAsia="en-US"/>
              </w:rPr>
              <w:t xml:space="preserve">. </w:t>
            </w:r>
            <w:r w:rsidR="00AA6543" w:rsidRPr="00BC60F2">
              <w:rPr>
                <w:rFonts w:eastAsia="Times New Roman"/>
                <w:i/>
                <w:szCs w:val="20"/>
                <w:lang w:eastAsia="en-US"/>
              </w:rPr>
              <w:t>This is an indicative list of current and former manufacturers. It is not intended to be exhaustive.</w:t>
            </w:r>
          </w:p>
        </w:tc>
      </w:tr>
    </w:tbl>
    <w:p w14:paraId="112763F3" w14:textId="77777777" w:rsidR="00AB1533" w:rsidRDefault="00AB1533" w:rsidP="00AB1533">
      <w:pPr>
        <w:pStyle w:val="Heading1"/>
      </w:pPr>
      <w:bookmarkStart w:id="4" w:name="_Toc154010807"/>
      <w:r w:rsidRPr="007937D9">
        <w:t>2.</w:t>
      </w:r>
      <w:r w:rsidR="00905EDF">
        <w:tab/>
      </w:r>
      <w:r w:rsidRPr="007937D9">
        <w:t xml:space="preserve">Reasons for inclusion in the </w:t>
      </w:r>
      <w:smartTag w:uri="urn:schemas-microsoft-com:office:smarttags" w:element="stockticker">
        <w:r w:rsidRPr="007937D9">
          <w:t>PIC</w:t>
        </w:r>
      </w:smartTag>
      <w:r w:rsidRPr="007937D9">
        <w:t xml:space="preserve"> procedure</w:t>
      </w:r>
      <w:bookmarkEnd w:id="4"/>
    </w:p>
    <w:p w14:paraId="2F321534" w14:textId="77777777" w:rsidR="000E6231" w:rsidRPr="000E6231" w:rsidRDefault="000E6231" w:rsidP="000E6231">
      <w:pPr>
        <w:rPr>
          <w:lang w:eastAsia="en-US"/>
        </w:rPr>
      </w:pPr>
      <w:r w:rsidRPr="003C73D5">
        <w:rPr>
          <w:iCs/>
        </w:rPr>
        <w:t>Me</w:t>
      </w:r>
      <w:r>
        <w:rPr>
          <w:iCs/>
        </w:rPr>
        <w:t xml:space="preserve">rcury </w:t>
      </w:r>
      <w:r w:rsidRPr="003C73D5">
        <w:t>is included in the PIC procedure as a</w:t>
      </w:r>
      <w:r>
        <w:t>n industrial chemical</w:t>
      </w:r>
      <w:r w:rsidRPr="003C73D5">
        <w:t xml:space="preserve">. It has been listed </w:t>
      </w:r>
      <w:proofErr w:type="gramStart"/>
      <w:r w:rsidRPr="003C73D5">
        <w:t>on the basis of</w:t>
      </w:r>
      <w:proofErr w:type="gramEnd"/>
      <w:r w:rsidRPr="003C73D5">
        <w:t xml:space="preserve"> the final regulatory actions to severely restrict its use, notified by Colombia and the </w:t>
      </w:r>
      <w:r>
        <w:t>European Union</w:t>
      </w:r>
      <w:r w:rsidRPr="003C73D5">
        <w:t>. Contact details of the designated national authorities of these two Parties are set out in annex 3 to the decision guidance document.</w:t>
      </w:r>
    </w:p>
    <w:p w14:paraId="2F644103" w14:textId="77777777" w:rsidR="00AB1533" w:rsidRDefault="00AB1533" w:rsidP="00AB1533">
      <w:pPr>
        <w:pStyle w:val="Heading2"/>
      </w:pPr>
      <w:bookmarkStart w:id="5" w:name="_Toc154010808"/>
      <w:r w:rsidRPr="00B1179D">
        <w:t>2.1</w:t>
      </w:r>
      <w:r w:rsidR="00E21BD3">
        <w:tab/>
      </w:r>
      <w:r w:rsidRPr="00B1179D">
        <w:t>Final regulatory action (see Annex 2 for further details)</w:t>
      </w:r>
      <w:bookmarkEnd w:id="5"/>
    </w:p>
    <w:p w14:paraId="341ED0C1" w14:textId="77777777" w:rsidR="00E14A42" w:rsidRDefault="00E14A42" w:rsidP="00E14A42">
      <w:pPr>
        <w:pStyle w:val="Heading3"/>
      </w:pPr>
      <w:r>
        <w:t>Colombia</w:t>
      </w:r>
    </w:p>
    <w:p w14:paraId="1D3B4C97" w14:textId="77777777" w:rsidR="000E6231" w:rsidRDefault="000E6231" w:rsidP="000E6231">
      <w:pPr>
        <w:rPr>
          <w:rFonts w:eastAsia="Times New Roman"/>
          <w:iCs/>
          <w:szCs w:val="20"/>
          <w:lang w:eastAsia="en-US"/>
        </w:rPr>
      </w:pPr>
      <w:r w:rsidRPr="00350991">
        <w:rPr>
          <w:rFonts w:eastAsia="Times New Roman"/>
          <w:iCs/>
          <w:szCs w:val="20"/>
          <w:lang w:eastAsia="en-US"/>
        </w:rPr>
        <w:t xml:space="preserve">Based on Law 1658 of 15 July 2013, the government of Colombia prohibited the marketing and use of mercury. The regulation eradicates the use of mercury in the national territory </w:t>
      </w:r>
      <w:proofErr w:type="gramStart"/>
      <w:r w:rsidRPr="00350991">
        <w:rPr>
          <w:rFonts w:eastAsia="Times New Roman"/>
          <w:iCs/>
          <w:szCs w:val="20"/>
          <w:lang w:eastAsia="en-US"/>
        </w:rPr>
        <w:t>in:</w:t>
      </w:r>
      <w:proofErr w:type="gramEnd"/>
      <w:r w:rsidRPr="00350991">
        <w:rPr>
          <w:rFonts w:eastAsia="Times New Roman"/>
          <w:iCs/>
          <w:szCs w:val="20"/>
          <w:lang w:eastAsia="en-US"/>
        </w:rPr>
        <w:t xml:space="preserve"> 1) all industrial and production processes within a period not exceeding 10 years (</w:t>
      </w:r>
      <w:r w:rsidR="00822D17">
        <w:rPr>
          <w:rFonts w:eastAsia="Times New Roman"/>
          <w:iCs/>
          <w:szCs w:val="20"/>
          <w:lang w:eastAsia="en-US"/>
        </w:rPr>
        <w:t>until</w:t>
      </w:r>
      <w:r w:rsidRPr="00350991">
        <w:rPr>
          <w:rFonts w:eastAsia="Times New Roman"/>
          <w:iCs/>
          <w:szCs w:val="20"/>
          <w:lang w:eastAsia="en-US"/>
        </w:rPr>
        <w:t xml:space="preserve"> 15 July 2023), and 2) for mining within a maximum period of 5 years (</w:t>
      </w:r>
      <w:r w:rsidR="00822D17">
        <w:rPr>
          <w:rFonts w:eastAsia="Times New Roman"/>
          <w:iCs/>
          <w:szCs w:val="20"/>
          <w:lang w:eastAsia="en-US"/>
        </w:rPr>
        <w:t>until</w:t>
      </w:r>
      <w:r w:rsidRPr="00350991">
        <w:rPr>
          <w:rFonts w:eastAsia="Times New Roman"/>
          <w:iCs/>
          <w:szCs w:val="20"/>
          <w:lang w:eastAsia="en-US"/>
        </w:rPr>
        <w:t xml:space="preserve"> 15 July 2018).</w:t>
      </w:r>
      <w:r w:rsidR="00822D17">
        <w:rPr>
          <w:rFonts w:eastAsia="Times New Roman"/>
          <w:iCs/>
          <w:szCs w:val="20"/>
          <w:lang w:eastAsia="en-US"/>
        </w:rPr>
        <w:t xml:space="preserve"> T</w:t>
      </w:r>
      <w:r w:rsidRPr="00350991">
        <w:rPr>
          <w:rFonts w:eastAsia="Times New Roman"/>
          <w:iCs/>
          <w:szCs w:val="20"/>
          <w:lang w:eastAsia="en-US"/>
        </w:rPr>
        <w:t xml:space="preserve">he deadline for industrial uses other than mining has not been met; this is the reason why the use of mercury in the production of dental amalgam will </w:t>
      </w:r>
      <w:proofErr w:type="gramStart"/>
      <w:r w:rsidRPr="00350991">
        <w:rPr>
          <w:rFonts w:eastAsia="Times New Roman"/>
          <w:iCs/>
          <w:szCs w:val="20"/>
          <w:lang w:eastAsia="en-US"/>
        </w:rPr>
        <w:t>continue</w:t>
      </w:r>
      <w:r w:rsidR="00822D17">
        <w:rPr>
          <w:rFonts w:eastAsia="Times New Roman"/>
          <w:iCs/>
          <w:szCs w:val="20"/>
          <w:lang w:eastAsia="en-US"/>
        </w:rPr>
        <w:t>d</w:t>
      </w:r>
      <w:proofErr w:type="gramEnd"/>
      <w:r w:rsidRPr="00350991">
        <w:rPr>
          <w:rFonts w:eastAsia="Times New Roman"/>
          <w:iCs/>
          <w:szCs w:val="20"/>
          <w:lang w:eastAsia="en-US"/>
        </w:rPr>
        <w:t xml:space="preserve"> until 15 July 2023.</w:t>
      </w:r>
    </w:p>
    <w:p w14:paraId="06F5F37B" w14:textId="77777777" w:rsidR="000E6231" w:rsidRPr="000E6231" w:rsidRDefault="000E6231" w:rsidP="000E6231">
      <w:pPr>
        <w:rPr>
          <w:lang w:eastAsia="en-US"/>
        </w:rPr>
      </w:pPr>
      <w:r w:rsidRPr="000E6231">
        <w:rPr>
          <w:rFonts w:eastAsia="Times New Roman"/>
          <w:b/>
          <w:bCs/>
          <w:iCs/>
          <w:lang w:eastAsia="en-US"/>
        </w:rPr>
        <w:t>Reason:</w:t>
      </w:r>
      <w:r>
        <w:rPr>
          <w:rFonts w:eastAsia="Times New Roman"/>
          <w:iCs/>
          <w:lang w:eastAsia="en-US"/>
        </w:rPr>
        <w:t xml:space="preserve"> </w:t>
      </w:r>
      <w:r w:rsidRPr="00B1179D">
        <w:rPr>
          <w:rFonts w:eastAsia="Times New Roman"/>
          <w:bCs/>
          <w:szCs w:val="20"/>
          <w:lang w:eastAsia="en-US"/>
        </w:rPr>
        <w:t xml:space="preserve">Human Health </w:t>
      </w:r>
      <w:r>
        <w:rPr>
          <w:rFonts w:eastAsia="Times New Roman"/>
          <w:bCs/>
          <w:szCs w:val="20"/>
          <w:lang w:eastAsia="en-US"/>
        </w:rPr>
        <w:t>and</w:t>
      </w:r>
      <w:r w:rsidRPr="00B1179D">
        <w:rPr>
          <w:rFonts w:eastAsia="Times New Roman"/>
          <w:bCs/>
          <w:szCs w:val="20"/>
          <w:lang w:eastAsia="en-US"/>
        </w:rPr>
        <w:t xml:space="preserve"> Environment</w:t>
      </w:r>
    </w:p>
    <w:p w14:paraId="248A791F" w14:textId="77777777" w:rsidR="00E14A42" w:rsidRDefault="00E14A42" w:rsidP="00F35D07">
      <w:pPr>
        <w:pStyle w:val="Heading3"/>
        <w:keepNext/>
      </w:pPr>
      <w:r>
        <w:t>European Union</w:t>
      </w:r>
    </w:p>
    <w:p w14:paraId="6F556004" w14:textId="77777777" w:rsidR="000E6231" w:rsidRPr="00350991" w:rsidRDefault="000E6231" w:rsidP="000E6231">
      <w:pPr>
        <w:rPr>
          <w:rFonts w:eastAsia="Times New Roman"/>
          <w:iCs/>
          <w:szCs w:val="20"/>
          <w:lang w:eastAsia="en-US"/>
        </w:rPr>
      </w:pPr>
      <w:r w:rsidRPr="00350991">
        <w:rPr>
          <w:rFonts w:eastAsia="Times New Roman"/>
          <w:iCs/>
          <w:szCs w:val="20"/>
          <w:lang w:eastAsia="en-US"/>
        </w:rPr>
        <w:t xml:space="preserve">The use of mercury as an industrial chemical is severely restricted in the European Union pursuant to Regulation (EU) 2017/852 on mercury, Regulation (EC) 1907/2006 (REACH), Directive 2011/65/EU (RoHS) and Directive 2006/66/EC (batteries and accumulators). More specifically: </w:t>
      </w:r>
    </w:p>
    <w:p w14:paraId="39517DC7" w14:textId="77777777" w:rsidR="000E6231" w:rsidRPr="00350991" w:rsidRDefault="000E6231" w:rsidP="000E6231">
      <w:pPr>
        <w:numPr>
          <w:ilvl w:val="0"/>
          <w:numId w:val="22"/>
        </w:numPr>
        <w:rPr>
          <w:rFonts w:eastAsia="Times New Roman"/>
          <w:iCs/>
          <w:szCs w:val="20"/>
          <w:lang w:eastAsia="en-US"/>
        </w:rPr>
      </w:pPr>
      <w:r w:rsidRPr="00350991">
        <w:rPr>
          <w:rFonts w:eastAsia="Times New Roman"/>
          <w:iCs/>
          <w:szCs w:val="20"/>
          <w:lang w:eastAsia="en-US"/>
        </w:rPr>
        <w:t xml:space="preserve">In 2006, Directive 2006/66/EC introduced a prohibition on the placing on the market of batteries and accumulators containing </w:t>
      </w:r>
      <w:proofErr w:type="gramStart"/>
      <w:r w:rsidRPr="00350991">
        <w:rPr>
          <w:rFonts w:eastAsia="Times New Roman"/>
          <w:iCs/>
          <w:szCs w:val="20"/>
          <w:lang w:eastAsia="en-US"/>
        </w:rPr>
        <w:t>mercury;</w:t>
      </w:r>
      <w:proofErr w:type="gramEnd"/>
    </w:p>
    <w:p w14:paraId="06530CBE" w14:textId="77777777" w:rsidR="000E6231" w:rsidRPr="00350991" w:rsidRDefault="000E6231" w:rsidP="000E6231">
      <w:pPr>
        <w:numPr>
          <w:ilvl w:val="0"/>
          <w:numId w:val="22"/>
        </w:numPr>
        <w:rPr>
          <w:rFonts w:eastAsia="Times New Roman"/>
          <w:iCs/>
          <w:szCs w:val="20"/>
          <w:lang w:eastAsia="en-US"/>
        </w:rPr>
      </w:pPr>
      <w:r w:rsidRPr="00350991">
        <w:rPr>
          <w:rFonts w:eastAsia="Times New Roman"/>
          <w:iCs/>
          <w:szCs w:val="20"/>
          <w:lang w:eastAsia="en-US"/>
        </w:rPr>
        <w:t xml:space="preserve">In 2007, Directive 2007/51/EC introduced a restriction under Directive 76/769/EEC on the placing on the market of mercury in fever thermometers and in other measuring devices intended for sale to the general </w:t>
      </w:r>
      <w:proofErr w:type="gramStart"/>
      <w:r w:rsidRPr="00350991">
        <w:rPr>
          <w:rFonts w:eastAsia="Times New Roman"/>
          <w:iCs/>
          <w:szCs w:val="20"/>
          <w:lang w:eastAsia="en-US"/>
        </w:rPr>
        <w:t>public;</w:t>
      </w:r>
      <w:proofErr w:type="gramEnd"/>
    </w:p>
    <w:p w14:paraId="3B1C9982" w14:textId="77777777" w:rsidR="000E6231" w:rsidRPr="00350991" w:rsidRDefault="000E6231" w:rsidP="000E6231">
      <w:pPr>
        <w:numPr>
          <w:ilvl w:val="0"/>
          <w:numId w:val="22"/>
        </w:numPr>
        <w:rPr>
          <w:rFonts w:eastAsia="Times New Roman"/>
          <w:iCs/>
          <w:szCs w:val="20"/>
          <w:lang w:eastAsia="en-US"/>
        </w:rPr>
      </w:pPr>
      <w:r w:rsidRPr="00350991">
        <w:rPr>
          <w:rFonts w:eastAsia="Times New Roman"/>
          <w:iCs/>
          <w:szCs w:val="20"/>
          <w:lang w:eastAsia="en-US"/>
        </w:rPr>
        <w:t>Regulation (EC) No 1907/2006 (REACH) repealed Directive 76/769/EEC. Commission Regulation (EC) No 552/2009 amended Annex XVII to REACH by incorporating in entry 18.a the restrictions on certain measuring devices containing mercury that was adopted under Directive 2007/51/</w:t>
      </w:r>
      <w:proofErr w:type="gramStart"/>
      <w:r w:rsidRPr="00350991">
        <w:rPr>
          <w:rFonts w:eastAsia="Times New Roman"/>
          <w:iCs/>
          <w:szCs w:val="20"/>
          <w:lang w:eastAsia="en-US"/>
        </w:rPr>
        <w:t>EC;</w:t>
      </w:r>
      <w:proofErr w:type="gramEnd"/>
    </w:p>
    <w:p w14:paraId="5339EAD0" w14:textId="77777777" w:rsidR="000E6231" w:rsidRPr="00350991" w:rsidRDefault="000E6231" w:rsidP="000E6231">
      <w:pPr>
        <w:numPr>
          <w:ilvl w:val="0"/>
          <w:numId w:val="22"/>
        </w:numPr>
        <w:rPr>
          <w:rFonts w:eastAsia="Times New Roman"/>
          <w:iCs/>
          <w:szCs w:val="20"/>
          <w:lang w:eastAsia="en-US"/>
        </w:rPr>
      </w:pPr>
      <w:r w:rsidRPr="00350991">
        <w:rPr>
          <w:rFonts w:eastAsia="Times New Roman"/>
          <w:iCs/>
          <w:szCs w:val="20"/>
          <w:lang w:eastAsia="en-US"/>
        </w:rPr>
        <w:t xml:space="preserve">In 2011, Directive 2011/65/EU (RoHS) established a restriction on the placing on the market of electric and electronic equipment to a maximum concentration value of 0.1% of mercury, allowing exemptions for certain applications for a limited time </w:t>
      </w:r>
      <w:proofErr w:type="gramStart"/>
      <w:r w:rsidRPr="00350991">
        <w:rPr>
          <w:rFonts w:eastAsia="Times New Roman"/>
          <w:iCs/>
          <w:szCs w:val="20"/>
          <w:lang w:eastAsia="en-US"/>
        </w:rPr>
        <w:t>period;</w:t>
      </w:r>
      <w:proofErr w:type="gramEnd"/>
    </w:p>
    <w:p w14:paraId="6FF21E8D" w14:textId="77777777" w:rsidR="000E6231" w:rsidRPr="00350991" w:rsidRDefault="000E6231" w:rsidP="000E6231">
      <w:pPr>
        <w:numPr>
          <w:ilvl w:val="0"/>
          <w:numId w:val="22"/>
        </w:numPr>
        <w:rPr>
          <w:rFonts w:eastAsia="Times New Roman"/>
          <w:iCs/>
          <w:szCs w:val="20"/>
          <w:lang w:eastAsia="en-US"/>
        </w:rPr>
      </w:pPr>
      <w:r w:rsidRPr="00350991">
        <w:rPr>
          <w:rFonts w:eastAsia="Times New Roman"/>
          <w:iCs/>
          <w:szCs w:val="20"/>
          <w:lang w:eastAsia="en-US"/>
        </w:rPr>
        <w:t>Commission Regulation (EU) No 847/2012 amended Annex XVII to REACH by incorporating in entry 18.a. a restriction on the placing on the market of mercury-containing and mercury- using measuring devices intended for industrial and professional uses. The restriction started to apply from 10 April 2014</w:t>
      </w:r>
      <w:r>
        <w:rPr>
          <w:rFonts w:eastAsia="Times New Roman"/>
          <w:iCs/>
          <w:szCs w:val="20"/>
          <w:lang w:eastAsia="en-US"/>
        </w:rPr>
        <w:t>.</w:t>
      </w:r>
    </w:p>
    <w:p w14:paraId="368B0421" w14:textId="77777777" w:rsidR="000E6231" w:rsidRDefault="000E6231" w:rsidP="000E6231">
      <w:pPr>
        <w:rPr>
          <w:rFonts w:eastAsia="Times New Roman"/>
          <w:iCs/>
          <w:szCs w:val="20"/>
          <w:lang w:eastAsia="en-US"/>
        </w:rPr>
      </w:pPr>
      <w:r w:rsidRPr="00350991">
        <w:rPr>
          <w:rFonts w:eastAsia="Times New Roman"/>
          <w:iCs/>
          <w:szCs w:val="20"/>
          <w:lang w:eastAsia="en-US"/>
        </w:rPr>
        <w:t>Regulation (EU) 2017/852 on mercury was adopted in May 2017. This regulation complements the European Union acquis and lays down the provisions that are needed to ensure the complete alignment of the European Union acquis with the Minamata Convention on Mercury establishing measures and conditions concerning the use and storage of and trade in mercury, mercury compounds and mixtures of mercury, and the manufacture and use of and trade in mercury-added products, and the management of mercury waste.</w:t>
      </w:r>
    </w:p>
    <w:p w14:paraId="0E2A380A" w14:textId="77777777" w:rsidR="000E6231" w:rsidRPr="000E6231" w:rsidRDefault="000E6231" w:rsidP="000E6231">
      <w:pPr>
        <w:rPr>
          <w:lang w:eastAsia="en-US"/>
        </w:rPr>
      </w:pPr>
      <w:r w:rsidRPr="000E6231">
        <w:rPr>
          <w:rFonts w:eastAsia="Times New Roman"/>
          <w:b/>
          <w:bCs/>
          <w:iCs/>
          <w:lang w:eastAsia="en-US"/>
        </w:rPr>
        <w:t>Reason:</w:t>
      </w:r>
      <w:r>
        <w:rPr>
          <w:rFonts w:eastAsia="Times New Roman"/>
          <w:iCs/>
          <w:lang w:eastAsia="en-US"/>
        </w:rPr>
        <w:t xml:space="preserve"> </w:t>
      </w:r>
      <w:r w:rsidRPr="00B1179D">
        <w:rPr>
          <w:rFonts w:eastAsia="Times New Roman"/>
          <w:bCs/>
          <w:szCs w:val="20"/>
          <w:lang w:eastAsia="en-US"/>
        </w:rPr>
        <w:t xml:space="preserve">Human Health </w:t>
      </w:r>
      <w:r>
        <w:rPr>
          <w:rFonts w:eastAsia="Times New Roman"/>
          <w:bCs/>
          <w:szCs w:val="20"/>
          <w:lang w:eastAsia="en-US"/>
        </w:rPr>
        <w:t>and</w:t>
      </w:r>
      <w:r w:rsidRPr="00B1179D">
        <w:rPr>
          <w:rFonts w:eastAsia="Times New Roman"/>
          <w:bCs/>
          <w:szCs w:val="20"/>
          <w:lang w:eastAsia="en-US"/>
        </w:rPr>
        <w:t xml:space="preserve"> Environment</w:t>
      </w:r>
    </w:p>
    <w:p w14:paraId="04B48724" w14:textId="77777777" w:rsidR="00AA6543" w:rsidRDefault="00E14A42" w:rsidP="00E14A42">
      <w:pPr>
        <w:pStyle w:val="Heading2"/>
        <w:rPr>
          <w:sz w:val="10"/>
          <w:szCs w:val="10"/>
        </w:rPr>
      </w:pPr>
      <w:bookmarkStart w:id="6" w:name="_Toc154010809"/>
      <w:r w:rsidRPr="00B1179D">
        <w:t>2.2</w:t>
      </w:r>
      <w:r w:rsidR="00E21BD3">
        <w:tab/>
      </w:r>
      <w:r w:rsidRPr="00B1179D">
        <w:t>Risk evaluation (see Annex 1 for further details)</w:t>
      </w:r>
      <w:bookmarkEnd w:id="6"/>
    </w:p>
    <w:p w14:paraId="1CB129B3" w14:textId="77777777" w:rsidR="00987FEA" w:rsidRDefault="00987FEA" w:rsidP="00987FEA">
      <w:pPr>
        <w:pStyle w:val="Heading3"/>
      </w:pPr>
      <w:r>
        <w:t>Colombia</w:t>
      </w:r>
    </w:p>
    <w:p w14:paraId="539985A7" w14:textId="77777777" w:rsidR="00136915" w:rsidRPr="008B2303" w:rsidRDefault="00136915" w:rsidP="00136915">
      <w:pPr>
        <w:rPr>
          <w:rFonts w:eastAsia="Times New Roman"/>
          <w:lang w:eastAsia="en-US"/>
        </w:rPr>
      </w:pPr>
      <w:r w:rsidRPr="008B2303">
        <w:t>According to the evaluation related to human health</w:t>
      </w:r>
      <w:r>
        <w:t xml:space="preserve"> and the environment,</w:t>
      </w:r>
      <w:r w:rsidRPr="008B2303">
        <w:t xml:space="preserve"> the following information was identified:</w:t>
      </w:r>
    </w:p>
    <w:p w14:paraId="43A93867"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 xml:space="preserve">The data includes extensive neuro-epidemiological studies in exposed populations (occupational and general population) and studies in different environmental compartments (freshwater, soil, sediment, biota, etc.), food (fish), with a view of establishing the levels of mercury and the perception of risk, and generating scientific, </w:t>
      </w:r>
      <w:proofErr w:type="gramStart"/>
      <w:r w:rsidRPr="00DD61F0">
        <w:rPr>
          <w:rFonts w:eastAsia="Times New Roman"/>
          <w:szCs w:val="20"/>
          <w:lang w:eastAsia="en-US"/>
        </w:rPr>
        <w:t>regulatory</w:t>
      </w:r>
      <w:proofErr w:type="gramEnd"/>
      <w:r w:rsidRPr="00DD61F0">
        <w:rPr>
          <w:rFonts w:eastAsia="Times New Roman"/>
          <w:szCs w:val="20"/>
          <w:lang w:eastAsia="en-US"/>
        </w:rPr>
        <w:t xml:space="preserve"> and technical evidence on the mercury problem both at the national and international level of the health sector and other related sector</w:t>
      </w:r>
      <w:r w:rsidR="00D609EE">
        <w:rPr>
          <w:rFonts w:eastAsia="Times New Roman"/>
          <w:szCs w:val="20"/>
          <w:lang w:eastAsia="en-US"/>
        </w:rPr>
        <w:t>s</w:t>
      </w:r>
      <w:r w:rsidRPr="00DD61F0">
        <w:rPr>
          <w:rFonts w:eastAsia="Times New Roman"/>
          <w:szCs w:val="20"/>
          <w:lang w:eastAsia="en-US"/>
        </w:rPr>
        <w:t xml:space="preserve">. Mercury measurements have been made in humans, mainly in workers and communities surrounding mining activities or adjacent to riverine </w:t>
      </w:r>
      <w:proofErr w:type="gramStart"/>
      <w:r w:rsidRPr="00DD61F0">
        <w:rPr>
          <w:rFonts w:eastAsia="Times New Roman"/>
          <w:szCs w:val="20"/>
          <w:lang w:eastAsia="en-US"/>
        </w:rPr>
        <w:t>areas</w:t>
      </w:r>
      <w:r w:rsidR="00E21BD3">
        <w:rPr>
          <w:rFonts w:eastAsia="Times New Roman"/>
          <w:szCs w:val="20"/>
          <w:lang w:eastAsia="en-US"/>
        </w:rPr>
        <w:t>;</w:t>
      </w:r>
      <w:proofErr w:type="gramEnd"/>
    </w:p>
    <w:p w14:paraId="4DE58E00"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 xml:space="preserve">The evaluation conducted establish that mercury is a toxic substance, that when entering the human body produces disorders, mainly at the central nervous system level. The presence of mercury in the air, water, </w:t>
      </w:r>
      <w:proofErr w:type="gramStart"/>
      <w:r w:rsidRPr="00DD61F0">
        <w:rPr>
          <w:rFonts w:eastAsia="Times New Roman"/>
          <w:szCs w:val="20"/>
          <w:lang w:eastAsia="en-US"/>
        </w:rPr>
        <w:t>soil</w:t>
      </w:r>
      <w:proofErr w:type="gramEnd"/>
      <w:r w:rsidRPr="00DD61F0">
        <w:rPr>
          <w:rFonts w:eastAsia="Times New Roman"/>
          <w:szCs w:val="20"/>
          <w:lang w:eastAsia="en-US"/>
        </w:rPr>
        <w:t xml:space="preserve"> and food (mainly fish) in concentrations above the allowed limit has caused a serious public health problem </w:t>
      </w:r>
      <w:r w:rsidRPr="00DD61F0">
        <w:rPr>
          <w:rFonts w:eastAsia="Times New Roman"/>
          <w:szCs w:val="20"/>
          <w:lang w:eastAsia="en-US"/>
        </w:rPr>
        <w:lastRenderedPageBreak/>
        <w:t xml:space="preserve">in Colombia. Regions such as the Northeast of Antioquia, the South of Bolívar, Chocó, Santander, Nariño, Caldas, Vaupés, among others, carry out artisanal gold mining and for the final extraction of this precious metal, mercury is used. Its use occurs in an indiscriminate and poorly controlled way, a situation that has caused environmental contamination and has affected people's health. Exposure to mercury is also increased in industrial areas that use this </w:t>
      </w:r>
      <w:proofErr w:type="gramStart"/>
      <w:r w:rsidRPr="00DD61F0">
        <w:rPr>
          <w:rFonts w:eastAsia="Times New Roman"/>
          <w:szCs w:val="20"/>
          <w:lang w:eastAsia="en-US"/>
        </w:rPr>
        <w:t>substance</w:t>
      </w:r>
      <w:r w:rsidR="00E21BD3">
        <w:rPr>
          <w:rFonts w:eastAsia="Times New Roman"/>
          <w:szCs w:val="20"/>
          <w:lang w:eastAsia="en-US"/>
        </w:rPr>
        <w:t>;</w:t>
      </w:r>
      <w:proofErr w:type="gramEnd"/>
    </w:p>
    <w:p w14:paraId="7A8573E2"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 xml:space="preserve">Studies conducted by the Government of Antioquia in the municipalities of Segovia and Remedios, in the Northeast of the department, found a concentration of mercury of approximately 340 </w:t>
      </w:r>
      <w:proofErr w:type="spellStart"/>
      <w:r w:rsidRPr="00DD61F0">
        <w:rPr>
          <w:rFonts w:eastAsia="Times New Roman"/>
          <w:szCs w:val="20"/>
          <w:lang w:eastAsia="en-US"/>
        </w:rPr>
        <w:t>μg</w:t>
      </w:r>
      <w:proofErr w:type="spellEnd"/>
      <w:r w:rsidRPr="00DD61F0">
        <w:rPr>
          <w:rFonts w:eastAsia="Times New Roman"/>
          <w:szCs w:val="20"/>
          <w:lang w:eastAsia="en-US"/>
        </w:rPr>
        <w:t xml:space="preserve">/m³ in the air (300 times higher than the guideline of the World Health Organization for public maximum exposure to </w:t>
      </w:r>
      <w:r w:rsidR="00D609EE">
        <w:rPr>
          <w:rFonts w:eastAsia="Times New Roman"/>
          <w:szCs w:val="20"/>
          <w:lang w:eastAsia="en-US"/>
        </w:rPr>
        <w:t>vapour</w:t>
      </w:r>
      <w:r w:rsidRPr="00DD61F0">
        <w:rPr>
          <w:rFonts w:eastAsia="Times New Roman"/>
          <w:szCs w:val="20"/>
          <w:lang w:eastAsia="en-US"/>
        </w:rPr>
        <w:t xml:space="preserve"> of mercury). Approximately 26 to 6,118 ppm of Hg is discharged into rivers by miners in the region. Additionally, the main food of these communities is fish, which has been shown to be affected by the emission of mercury. Studies completed by </w:t>
      </w:r>
      <w:proofErr w:type="spellStart"/>
      <w:r w:rsidRPr="00DD61F0">
        <w:rPr>
          <w:rFonts w:eastAsia="Times New Roman"/>
          <w:szCs w:val="20"/>
          <w:lang w:eastAsia="en-US"/>
        </w:rPr>
        <w:t>Corantioquia</w:t>
      </w:r>
      <w:proofErr w:type="spellEnd"/>
      <w:r w:rsidRPr="00DD61F0">
        <w:rPr>
          <w:rFonts w:eastAsia="Times New Roman"/>
          <w:szCs w:val="20"/>
          <w:lang w:eastAsia="en-US"/>
        </w:rPr>
        <w:t xml:space="preserve">, the University of Antioquia, and the University of Cartagena have revealed a concentration above 1.06 </w:t>
      </w:r>
      <w:proofErr w:type="spellStart"/>
      <w:r w:rsidRPr="00DD61F0">
        <w:rPr>
          <w:rFonts w:eastAsia="Times New Roman"/>
          <w:szCs w:val="20"/>
          <w:lang w:eastAsia="en-US"/>
        </w:rPr>
        <w:t>μg</w:t>
      </w:r>
      <w:proofErr w:type="spellEnd"/>
      <w:r w:rsidRPr="00DD61F0">
        <w:rPr>
          <w:rFonts w:eastAsia="Times New Roman"/>
          <w:szCs w:val="20"/>
          <w:lang w:eastAsia="en-US"/>
        </w:rPr>
        <w:t xml:space="preserve"> Hg/g in most of the species found in the rivers of the surrounding </w:t>
      </w:r>
      <w:proofErr w:type="gramStart"/>
      <w:r w:rsidRPr="00DD61F0">
        <w:rPr>
          <w:rFonts w:eastAsia="Times New Roman"/>
          <w:szCs w:val="20"/>
          <w:lang w:eastAsia="en-US"/>
        </w:rPr>
        <w:t>area</w:t>
      </w:r>
      <w:r w:rsidR="00E21BD3">
        <w:rPr>
          <w:rFonts w:eastAsia="Times New Roman"/>
          <w:szCs w:val="20"/>
          <w:lang w:eastAsia="en-US"/>
        </w:rPr>
        <w:t>;</w:t>
      </w:r>
      <w:proofErr w:type="gramEnd"/>
    </w:p>
    <w:p w14:paraId="6CBB95CB"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 xml:space="preserve">Mercury contamination in Colombia was originated in the gold benefit processes in which the mineral containing the precious metal is extracted by joining with the mercury, forming the amalgam. During the process, mercury spills into water bodies and the environment. Subsequently, the amalgam obtained is burned in the open air, leaving the </w:t>
      </w:r>
      <w:proofErr w:type="gramStart"/>
      <w:r w:rsidRPr="00DD61F0">
        <w:rPr>
          <w:rFonts w:eastAsia="Times New Roman"/>
          <w:szCs w:val="20"/>
          <w:lang w:eastAsia="en-US"/>
        </w:rPr>
        <w:t>gold</w:t>
      </w:r>
      <w:proofErr w:type="gramEnd"/>
      <w:r w:rsidRPr="00DD61F0">
        <w:rPr>
          <w:rFonts w:eastAsia="Times New Roman"/>
          <w:szCs w:val="20"/>
          <w:lang w:eastAsia="en-US"/>
        </w:rPr>
        <w:t xml:space="preserve"> and releasing the toxic mercury </w:t>
      </w:r>
      <w:r w:rsidR="00D609EE">
        <w:rPr>
          <w:rFonts w:eastAsia="Times New Roman"/>
          <w:szCs w:val="20"/>
          <w:lang w:eastAsia="en-US"/>
        </w:rPr>
        <w:t>vapour</w:t>
      </w:r>
      <w:r w:rsidRPr="00DD61F0">
        <w:rPr>
          <w:rFonts w:eastAsia="Times New Roman"/>
          <w:szCs w:val="20"/>
          <w:lang w:eastAsia="en-US"/>
        </w:rPr>
        <w:t>s into the atmosphere. All these activities are performed very close to the miners' households, in such a way that families breathe a large part of the volatilized mercury vapour. Even remote populations can be affected by the mobilization of this substance (Protocol for Surveillance and Control of Acute Mercury Poisoning</w:t>
      </w:r>
      <w:proofErr w:type="gramStart"/>
      <w:r w:rsidR="00D609EE">
        <w:rPr>
          <w:rFonts w:eastAsia="Times New Roman"/>
          <w:szCs w:val="20"/>
          <w:lang w:eastAsia="en-US"/>
        </w:rPr>
        <w:t>)</w:t>
      </w:r>
      <w:r w:rsidR="00E21BD3">
        <w:rPr>
          <w:rFonts w:eastAsia="Times New Roman"/>
          <w:szCs w:val="20"/>
          <w:lang w:eastAsia="en-US"/>
        </w:rPr>
        <w:t>;</w:t>
      </w:r>
      <w:proofErr w:type="gramEnd"/>
    </w:p>
    <w:p w14:paraId="736E6DC7"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 xml:space="preserve">Studies carried out in exposed populations (occupational and general population) to mercury have made it possible to establish its relationship in the development of the observed manifestations (Fawer et al 1983, </w:t>
      </w:r>
      <w:proofErr w:type="spellStart"/>
      <w:r w:rsidRPr="00DD61F0">
        <w:rPr>
          <w:rFonts w:eastAsia="Times New Roman"/>
          <w:szCs w:val="20"/>
          <w:lang w:eastAsia="en-US"/>
        </w:rPr>
        <w:t>Piikivi</w:t>
      </w:r>
      <w:proofErr w:type="spellEnd"/>
      <w:r w:rsidRPr="00DD61F0">
        <w:rPr>
          <w:rFonts w:eastAsia="Times New Roman"/>
          <w:szCs w:val="20"/>
          <w:lang w:eastAsia="en-US"/>
        </w:rPr>
        <w:t xml:space="preserve"> 1989, Marh et al 1987). The </w:t>
      </w:r>
      <w:proofErr w:type="spellStart"/>
      <w:r w:rsidRPr="00DD61F0">
        <w:rPr>
          <w:rFonts w:eastAsia="Times New Roman"/>
          <w:szCs w:val="20"/>
          <w:lang w:eastAsia="en-US"/>
        </w:rPr>
        <w:t>neuroepidemiological</w:t>
      </w:r>
      <w:proofErr w:type="spellEnd"/>
      <w:r w:rsidRPr="00DD61F0">
        <w:rPr>
          <w:rFonts w:eastAsia="Times New Roman"/>
          <w:szCs w:val="20"/>
          <w:lang w:eastAsia="en-US"/>
        </w:rPr>
        <w:t xml:space="preserve"> and toxicological study of the </w:t>
      </w:r>
      <w:proofErr w:type="spellStart"/>
      <w:r w:rsidRPr="00DD61F0">
        <w:rPr>
          <w:rFonts w:eastAsia="Times New Roman"/>
          <w:szCs w:val="20"/>
          <w:lang w:eastAsia="en-US"/>
        </w:rPr>
        <w:t>Suratá</w:t>
      </w:r>
      <w:proofErr w:type="spellEnd"/>
      <w:r w:rsidRPr="00DD61F0">
        <w:rPr>
          <w:rFonts w:eastAsia="Times New Roman"/>
          <w:szCs w:val="20"/>
          <w:lang w:eastAsia="en-US"/>
        </w:rPr>
        <w:t xml:space="preserve"> river pollutants carried out in the mining population of that region (Santander, 1992) raised the possible relationship of chronic exposure to mercury with the presence of neurological diseases. Tirado et al (2000) suggest that this form of exposure can cause neuropsychological and </w:t>
      </w:r>
      <w:r w:rsidR="00D609EE">
        <w:rPr>
          <w:rFonts w:eastAsia="Times New Roman"/>
          <w:szCs w:val="20"/>
          <w:lang w:eastAsia="en-US"/>
        </w:rPr>
        <w:t xml:space="preserve"> behavioural</w:t>
      </w:r>
      <w:r w:rsidRPr="00DD61F0">
        <w:rPr>
          <w:rFonts w:eastAsia="Times New Roman"/>
          <w:szCs w:val="20"/>
          <w:lang w:eastAsia="en-US"/>
        </w:rPr>
        <w:t xml:space="preserve"> deficits in the population. In 1995, Olivero et al reported that the inhabitants of southern Bolívar presented signs of mercury intoxication such as hand tremors, neurological disorders and visual problems, among others. In this region, frequent cases of congenital malformations have also been reported, although without evidence of association with mercury exposure</w:t>
      </w:r>
      <w:r w:rsidR="00E21BD3">
        <w:rPr>
          <w:rFonts w:eastAsia="Times New Roman"/>
          <w:szCs w:val="20"/>
          <w:lang w:eastAsia="en-US"/>
        </w:rPr>
        <w:t>;</w:t>
      </w:r>
    </w:p>
    <w:p w14:paraId="6E764DD2"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According to National Public Health Surveillance System - SIVIGILA, during 2010 and in the first half of 2011, 201 cases of mercury poisoning were reported in Colombia- 96% of the cases were of occupational or accidental origin as follows: 85% (n = 171) occupational, 11% (n = 22) accidental</w:t>
      </w:r>
      <w:r w:rsidR="00E21BD3">
        <w:rPr>
          <w:rFonts w:eastAsia="Times New Roman"/>
          <w:szCs w:val="20"/>
          <w:lang w:eastAsia="en-US"/>
        </w:rPr>
        <w:t>;</w:t>
      </w:r>
    </w:p>
    <w:p w14:paraId="4B946C19"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Occupational exposure is the most frequent in the reported cases, where mining and quarrying occupations are the ones with the highest number of cases associated with the use of mercury as an input for gold mining. The most significant conclusions indicate that the most frequent notifiers during the period were Antioquia, followed by Bogotá, Bolívar, Risaralda, Santander and Valle del Cauca. The highest percentage of intoxications reported were occupational, been respiratory the most frequent route of exposure, and according to the analysis by occupation, the highest number of intoxicated were miners or stonemasons (Scientific, Regulatory and Technical Evidence on the Mercury Problem at the Level National and International Health Sector and Other Related Sectors</w:t>
      </w:r>
      <w:r w:rsidR="00D609EE">
        <w:rPr>
          <w:rFonts w:eastAsia="Times New Roman"/>
          <w:szCs w:val="20"/>
          <w:lang w:eastAsia="en-US"/>
        </w:rPr>
        <w:t>)</w:t>
      </w:r>
      <w:r w:rsidR="00E21BD3">
        <w:rPr>
          <w:rFonts w:eastAsia="Times New Roman"/>
          <w:szCs w:val="20"/>
          <w:lang w:eastAsia="en-US"/>
        </w:rPr>
        <w:t>;</w:t>
      </w:r>
      <w:r w:rsidRPr="00DD61F0">
        <w:rPr>
          <w:rFonts w:eastAsia="Times New Roman"/>
          <w:szCs w:val="20"/>
          <w:lang w:eastAsia="en-US"/>
        </w:rPr>
        <w:t xml:space="preserve"> </w:t>
      </w:r>
    </w:p>
    <w:p w14:paraId="1803C9D6" w14:textId="77777777" w:rsidR="00136915" w:rsidRPr="00DD61F0" w:rsidRDefault="00136915" w:rsidP="00136915">
      <w:pPr>
        <w:numPr>
          <w:ilvl w:val="0"/>
          <w:numId w:val="24"/>
        </w:numPr>
        <w:rPr>
          <w:rFonts w:eastAsia="Times New Roman"/>
          <w:szCs w:val="20"/>
          <w:lang w:eastAsia="en-US"/>
        </w:rPr>
      </w:pPr>
      <w:r w:rsidRPr="00DD61F0">
        <w:rPr>
          <w:rFonts w:eastAsia="Times New Roman"/>
          <w:szCs w:val="20"/>
          <w:lang w:eastAsia="en-US"/>
        </w:rPr>
        <w:t>It was identified that there are some population groups that deserve special attention in relation to exposure to mercury, since they have a greater probability of exposure to dangerous levels, or because carriers of disease, the intoxication effects can be exacerbated:</w:t>
      </w:r>
    </w:p>
    <w:p w14:paraId="6462C68B" w14:textId="77777777" w:rsidR="00136915" w:rsidRPr="00DD61F0" w:rsidRDefault="00136915" w:rsidP="00136915">
      <w:pPr>
        <w:numPr>
          <w:ilvl w:val="0"/>
          <w:numId w:val="25"/>
        </w:numPr>
        <w:rPr>
          <w:rFonts w:eastAsia="Times New Roman"/>
          <w:szCs w:val="20"/>
          <w:lang w:eastAsia="en-US"/>
        </w:rPr>
      </w:pPr>
      <w:r w:rsidRPr="00DD61F0">
        <w:rPr>
          <w:rFonts w:eastAsia="Times New Roman"/>
          <w:szCs w:val="20"/>
          <w:lang w:eastAsia="en-US"/>
        </w:rPr>
        <w:t xml:space="preserve">Workers exposed to mercury; </w:t>
      </w:r>
    </w:p>
    <w:p w14:paraId="3C67BE5A" w14:textId="77777777" w:rsidR="00136915" w:rsidRPr="00DD61F0" w:rsidRDefault="00136915" w:rsidP="00136915">
      <w:pPr>
        <w:numPr>
          <w:ilvl w:val="0"/>
          <w:numId w:val="25"/>
        </w:numPr>
        <w:rPr>
          <w:rFonts w:eastAsia="Times New Roman"/>
          <w:szCs w:val="20"/>
          <w:lang w:eastAsia="en-US"/>
        </w:rPr>
      </w:pPr>
      <w:r w:rsidRPr="00DD61F0">
        <w:rPr>
          <w:rFonts w:eastAsia="Times New Roman"/>
          <w:szCs w:val="20"/>
          <w:lang w:eastAsia="en-US"/>
        </w:rPr>
        <w:t xml:space="preserve">General population next to sources of mercury contamination (mines, industries); </w:t>
      </w:r>
    </w:p>
    <w:p w14:paraId="72FE6633" w14:textId="77777777" w:rsidR="00136915" w:rsidRPr="00DD61F0" w:rsidRDefault="00136915" w:rsidP="00136915">
      <w:pPr>
        <w:numPr>
          <w:ilvl w:val="0"/>
          <w:numId w:val="25"/>
        </w:numPr>
        <w:rPr>
          <w:rFonts w:eastAsia="Times New Roman"/>
          <w:szCs w:val="20"/>
          <w:lang w:eastAsia="en-US"/>
        </w:rPr>
      </w:pPr>
      <w:r w:rsidRPr="00DD61F0">
        <w:rPr>
          <w:rFonts w:eastAsia="Times New Roman"/>
          <w:szCs w:val="20"/>
          <w:lang w:eastAsia="en-US"/>
        </w:rPr>
        <w:t xml:space="preserve">Populations in areas contaminated by mercury, especially indigenous and riverine, whose main source of proteins is fish; </w:t>
      </w:r>
    </w:p>
    <w:p w14:paraId="24A394C3" w14:textId="77777777" w:rsidR="00136915" w:rsidRPr="00DD61F0" w:rsidRDefault="00136915" w:rsidP="00136915">
      <w:pPr>
        <w:numPr>
          <w:ilvl w:val="0"/>
          <w:numId w:val="25"/>
        </w:numPr>
        <w:rPr>
          <w:rFonts w:eastAsia="Times New Roman"/>
          <w:szCs w:val="20"/>
          <w:lang w:eastAsia="en-US"/>
        </w:rPr>
      </w:pPr>
      <w:r w:rsidRPr="00DD61F0">
        <w:rPr>
          <w:rFonts w:eastAsia="Times New Roman"/>
          <w:szCs w:val="20"/>
          <w:lang w:eastAsia="en-US"/>
        </w:rPr>
        <w:t xml:space="preserve">People using mercury-containing medications for a long time; </w:t>
      </w:r>
    </w:p>
    <w:p w14:paraId="328EB569" w14:textId="77777777" w:rsidR="00136915" w:rsidRDefault="00136915" w:rsidP="00136915">
      <w:pPr>
        <w:numPr>
          <w:ilvl w:val="0"/>
          <w:numId w:val="25"/>
        </w:numPr>
        <w:rPr>
          <w:rFonts w:eastAsia="Times New Roman"/>
          <w:szCs w:val="20"/>
          <w:lang w:eastAsia="en-US"/>
        </w:rPr>
      </w:pPr>
      <w:r w:rsidRPr="00DD61F0">
        <w:rPr>
          <w:rFonts w:eastAsia="Times New Roman"/>
          <w:szCs w:val="20"/>
          <w:lang w:eastAsia="en-US"/>
        </w:rPr>
        <w:t xml:space="preserve">People with central nervous system diseases, patients with chronic kidney and bronco pulmonary failure; </w:t>
      </w:r>
    </w:p>
    <w:p w14:paraId="27D25C4E" w14:textId="77777777" w:rsidR="00136915" w:rsidRPr="00136915" w:rsidRDefault="00136915" w:rsidP="00136915">
      <w:pPr>
        <w:numPr>
          <w:ilvl w:val="0"/>
          <w:numId w:val="25"/>
        </w:numPr>
        <w:rPr>
          <w:rFonts w:eastAsia="Times New Roman"/>
          <w:szCs w:val="20"/>
          <w:lang w:eastAsia="en-US"/>
        </w:rPr>
      </w:pPr>
      <w:r w:rsidRPr="00136915">
        <w:rPr>
          <w:rFonts w:eastAsia="Times New Roman"/>
          <w:szCs w:val="20"/>
          <w:lang w:eastAsia="en-US"/>
        </w:rPr>
        <w:t>Pregnant women and toddlers</w:t>
      </w:r>
      <w:r w:rsidRPr="00136915">
        <w:rPr>
          <w:rFonts w:eastAsia="Times New Roman"/>
          <w:i/>
          <w:iCs/>
          <w:szCs w:val="20"/>
          <w:lang w:eastAsia="en-US"/>
        </w:rPr>
        <w:t>.</w:t>
      </w:r>
    </w:p>
    <w:p w14:paraId="4C2BEA09" w14:textId="77777777" w:rsidR="00136915" w:rsidRDefault="00136915" w:rsidP="00803F46">
      <w:pPr>
        <w:pStyle w:val="Heading3"/>
        <w:keepNext/>
      </w:pPr>
      <w:r>
        <w:lastRenderedPageBreak/>
        <w:t>European Union</w:t>
      </w:r>
    </w:p>
    <w:p w14:paraId="4BBE42F8" w14:textId="77777777" w:rsidR="008B2303" w:rsidRPr="008B2303" w:rsidRDefault="008B2303" w:rsidP="00803F46">
      <w:pPr>
        <w:keepNext/>
        <w:rPr>
          <w:rFonts w:eastAsia="Times New Roman"/>
          <w:lang w:eastAsia="en-US"/>
        </w:rPr>
      </w:pPr>
      <w:r w:rsidRPr="008B2303">
        <w:t>According to the evaluation related to human health</w:t>
      </w:r>
      <w:r>
        <w:t xml:space="preserve"> and the environment,</w:t>
      </w:r>
      <w:r w:rsidRPr="008B2303">
        <w:t xml:space="preserve"> the following information was identified:</w:t>
      </w:r>
    </w:p>
    <w:p w14:paraId="5D1C0CEB"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While this risk assessment was conducted in the context of the restriction on mercury-containing measuring devices intended for industrial and professional uses, it includes information on the risks associated with mercury that is not limited to those measuring devices and that could support the other Directives and Regulations that comprise the final regulatory action notified by the European Union.</w:t>
      </w:r>
    </w:p>
    <w:p w14:paraId="182871A2"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 xml:space="preserve">According to the </w:t>
      </w:r>
      <w:r w:rsidR="00D6499F">
        <w:rPr>
          <w:rFonts w:eastAsia="Times New Roman"/>
          <w:iCs/>
          <w:szCs w:val="20"/>
          <w:lang w:eastAsia="en-US"/>
        </w:rPr>
        <w:t xml:space="preserve">ECHA </w:t>
      </w:r>
      <w:r w:rsidR="009D4989" w:rsidRPr="00DD61F0">
        <w:rPr>
          <w:rFonts w:eastAsia="Times New Roman"/>
          <w:iCs/>
          <w:szCs w:val="20"/>
          <w:lang w:eastAsia="en-US"/>
        </w:rPr>
        <w:t xml:space="preserve">Committee for Risk Assessment </w:t>
      </w:r>
      <w:r w:rsidR="009D4989">
        <w:rPr>
          <w:rFonts w:eastAsia="Times New Roman"/>
          <w:iCs/>
          <w:szCs w:val="20"/>
          <w:lang w:eastAsia="en-US"/>
        </w:rPr>
        <w:t>(</w:t>
      </w:r>
      <w:r w:rsidRPr="00DD61F0">
        <w:rPr>
          <w:rFonts w:eastAsia="Times New Roman"/>
          <w:iCs/>
          <w:szCs w:val="20"/>
          <w:lang w:eastAsia="en-US"/>
        </w:rPr>
        <w:t>RAC</w:t>
      </w:r>
      <w:r w:rsidR="009D4989">
        <w:rPr>
          <w:rFonts w:eastAsia="Times New Roman"/>
          <w:iCs/>
          <w:szCs w:val="20"/>
          <w:lang w:eastAsia="en-US"/>
        </w:rPr>
        <w:t>)</w:t>
      </w:r>
      <w:r w:rsidRPr="00DD61F0">
        <w:rPr>
          <w:rFonts w:eastAsia="Times New Roman"/>
          <w:iCs/>
          <w:szCs w:val="20"/>
          <w:lang w:eastAsia="en-US"/>
        </w:rPr>
        <w:t xml:space="preserve"> </w:t>
      </w:r>
      <w:r w:rsidR="009D4989">
        <w:rPr>
          <w:rFonts w:eastAsia="Times New Roman"/>
          <w:iCs/>
          <w:szCs w:val="20"/>
          <w:lang w:eastAsia="en-US"/>
        </w:rPr>
        <w:t>O</w:t>
      </w:r>
      <w:r w:rsidRPr="00DD61F0">
        <w:rPr>
          <w:rFonts w:eastAsia="Times New Roman"/>
          <w:iCs/>
          <w:szCs w:val="20"/>
          <w:lang w:eastAsia="en-US"/>
        </w:rPr>
        <w:t>pinion and its background document, mercury and its compounds are highly toxic to humans, ecosystems and wildlife, with amongst others serious chronic irreversible adverse neurotoxic and neurodevelopmental effects. The RAC opinion includes a PBT assessment for mercury-methylmercury concluding an equivalent level of concern in terms of persistency, due to mercury cycling and methylation versus demethylation rates under anaerobic conditions, as well as the clear potential for bioaccumulation and toxicity identified for methylmercury</w:t>
      </w:r>
      <w:r w:rsidR="009D4989">
        <w:rPr>
          <w:rFonts w:eastAsia="Times New Roman"/>
          <w:iCs/>
          <w:szCs w:val="20"/>
          <w:lang w:eastAsia="en-US"/>
        </w:rPr>
        <w:t>.</w:t>
      </w:r>
    </w:p>
    <w:p w14:paraId="629C1AA8"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The hazard and fate of mercury and its compounds are described in numerous peer-reviewed reports, which were referenced in the Document</w:t>
      </w:r>
      <w:r w:rsidR="009D4989">
        <w:rPr>
          <w:rFonts w:eastAsia="Times New Roman"/>
          <w:iCs/>
          <w:szCs w:val="20"/>
          <w:lang w:eastAsia="en-US"/>
        </w:rPr>
        <w:t>ation provided:</w:t>
      </w:r>
      <w:r w:rsidRPr="00DD61F0">
        <w:rPr>
          <w:rFonts w:eastAsia="Times New Roman"/>
          <w:iCs/>
          <w:szCs w:val="20"/>
          <w:lang w:eastAsia="en-US"/>
        </w:rPr>
        <w:t xml:space="preserve"> </w:t>
      </w:r>
    </w:p>
    <w:p w14:paraId="19B791D3" w14:textId="77777777" w:rsidR="00DD61F0" w:rsidRPr="00DD61F0" w:rsidRDefault="00DD61F0" w:rsidP="00136915">
      <w:pPr>
        <w:numPr>
          <w:ilvl w:val="2"/>
          <w:numId w:val="28"/>
        </w:numPr>
        <w:rPr>
          <w:rFonts w:eastAsia="Times New Roman"/>
          <w:iCs/>
          <w:szCs w:val="20"/>
          <w:lang w:eastAsia="en-US"/>
        </w:rPr>
      </w:pPr>
      <w:r w:rsidRPr="00DD61F0">
        <w:rPr>
          <w:rFonts w:eastAsia="Times New Roman"/>
          <w:iCs/>
          <w:szCs w:val="20"/>
          <w:lang w:eastAsia="en-US"/>
        </w:rPr>
        <w:t>‘Global Mercury Assessment’, published by UNEP in 2002 (and UNEP 2008a and b);</w:t>
      </w:r>
    </w:p>
    <w:p w14:paraId="3262099F" w14:textId="77777777" w:rsidR="00DD61F0" w:rsidRPr="00DD61F0" w:rsidRDefault="00DD61F0" w:rsidP="00136915">
      <w:pPr>
        <w:numPr>
          <w:ilvl w:val="2"/>
          <w:numId w:val="28"/>
        </w:numPr>
        <w:rPr>
          <w:rFonts w:eastAsia="Times New Roman"/>
          <w:iCs/>
          <w:szCs w:val="20"/>
          <w:lang w:eastAsia="en-US"/>
        </w:rPr>
      </w:pPr>
      <w:r w:rsidRPr="00DD61F0">
        <w:rPr>
          <w:rFonts w:eastAsia="Times New Roman"/>
          <w:iCs/>
          <w:szCs w:val="20"/>
          <w:lang w:eastAsia="en-US"/>
        </w:rPr>
        <w:t>‘Methylmercury’ (WHO, 1990);</w:t>
      </w:r>
    </w:p>
    <w:p w14:paraId="7617D48D" w14:textId="77777777" w:rsidR="00DD61F0" w:rsidRPr="00DD61F0" w:rsidRDefault="00DD61F0" w:rsidP="00136915">
      <w:pPr>
        <w:numPr>
          <w:ilvl w:val="2"/>
          <w:numId w:val="28"/>
        </w:numPr>
        <w:rPr>
          <w:rFonts w:eastAsia="Times New Roman"/>
          <w:iCs/>
          <w:szCs w:val="20"/>
          <w:lang w:eastAsia="en-US"/>
        </w:rPr>
      </w:pPr>
      <w:r w:rsidRPr="00DD61F0">
        <w:rPr>
          <w:rFonts w:eastAsia="Times New Roman"/>
          <w:iCs/>
          <w:szCs w:val="20"/>
          <w:lang w:eastAsia="en-US"/>
        </w:rPr>
        <w:t>‘Risks to Health and the Environment Related to the Use of Mercury Products’ prepared for the Commission by RPA in 2002.</w:t>
      </w:r>
    </w:p>
    <w:p w14:paraId="0B42237B"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It is estimated that 3.5–7.6 tonnes of mercury are placed on the market in mercury containing measuring devices in 2010. These amounts are used to estimate the maximum potential for mercury emissions to the environment that might ultimately occur. This assumption is considered appropriate because of an estimated low separate collection rate of mercury waste and resulting inadequate waste treatment of a substantial part of the devices. This inappropriate waste collection leads in the long term to a relatively high share of mercury used in these devices being released to the environment. For measuring equipment using mercury (porosimeters, mercury probes used for capacitance-voltage determinations and mercury electrodes used in voltammeters) the total use is 5–15 tonnes per year (mostly porosimeters 5–14 tonnes per year). It should be noted that these figures are the amount of mercury the laboratories purchase and cannot be used to estimate maximum potential for emission as is the case for the measuring equipment containing mercury. To estimate emissions several additional factors need to be considered. These include number of measurements carried out, practices to purify and regenerated used mercury and the risk management measures and operational conditions applied to control the emissions and exposures</w:t>
      </w:r>
      <w:r w:rsidR="000E4E4D">
        <w:rPr>
          <w:rFonts w:eastAsia="Times New Roman"/>
          <w:iCs/>
          <w:szCs w:val="20"/>
          <w:lang w:eastAsia="en-US"/>
        </w:rPr>
        <w:t>.</w:t>
      </w:r>
    </w:p>
    <w:p w14:paraId="0357DBB6"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The total mercury consumption in Europe was in 2007 estimated to be 320–530 tonnes. 160–190 tonnes of the total amount were used in the chlor-alkali production and 90–110 were used in dental amalgams. The amount used in mercury measuring devices thus equals about 4% of the total, while the restricted devices will be lower due to the large use in porosimeters</w:t>
      </w:r>
      <w:r w:rsidR="000E4E4D">
        <w:rPr>
          <w:rFonts w:eastAsia="Times New Roman"/>
          <w:iCs/>
          <w:szCs w:val="20"/>
          <w:lang w:eastAsia="en-US"/>
        </w:rPr>
        <w:t>.</w:t>
      </w:r>
    </w:p>
    <w:p w14:paraId="5C94872B"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Once released to the environment, mercury persists in the environment, where it circulates between air, water, sediments, soil and biota in various forms. Mercury can be transformed to methylmercury, the most toxic form, which biomagnifies especially in the aquatic food chain, making populations and wildlife with a high intake of fish and seafood particularly vulnerable</w:t>
      </w:r>
      <w:r w:rsidR="000E4E4D">
        <w:rPr>
          <w:rFonts w:eastAsia="Times New Roman"/>
          <w:iCs/>
          <w:szCs w:val="20"/>
          <w:lang w:eastAsia="en-US"/>
        </w:rPr>
        <w:t>.</w:t>
      </w:r>
    </w:p>
    <w:p w14:paraId="49126359" w14:textId="77777777" w:rsidR="00DD61F0" w:rsidRPr="00DD61F0" w:rsidRDefault="00DD61F0" w:rsidP="00136915">
      <w:pPr>
        <w:numPr>
          <w:ilvl w:val="0"/>
          <w:numId w:val="26"/>
        </w:numPr>
        <w:rPr>
          <w:rFonts w:eastAsia="Times New Roman"/>
          <w:iCs/>
          <w:szCs w:val="20"/>
          <w:lang w:eastAsia="en-US"/>
        </w:rPr>
      </w:pPr>
      <w:r w:rsidRPr="00DD61F0">
        <w:rPr>
          <w:rFonts w:eastAsia="Times New Roman"/>
          <w:iCs/>
          <w:szCs w:val="20"/>
          <w:lang w:eastAsia="en-US"/>
        </w:rPr>
        <w:t>Several existing pieces of legislation in the European Union abate the risks arising from mercury in different stages of the life cycle of measuring devices. However, none of the measures currently in place is sufficient to remove the concern fully, although there is a difference between their observed effectiveness with regard to measuring devices containing mercury and measuring devices using mercury</w:t>
      </w:r>
      <w:r w:rsidR="000E4E4D">
        <w:rPr>
          <w:rFonts w:eastAsia="Times New Roman"/>
          <w:iCs/>
          <w:szCs w:val="20"/>
          <w:lang w:eastAsia="en-US"/>
        </w:rPr>
        <w:t>.</w:t>
      </w:r>
    </w:p>
    <w:p w14:paraId="617A284B" w14:textId="77777777" w:rsidR="00AA6543" w:rsidRPr="00AA6543" w:rsidRDefault="00DD61F0" w:rsidP="00136915">
      <w:pPr>
        <w:numPr>
          <w:ilvl w:val="0"/>
          <w:numId w:val="26"/>
        </w:numPr>
        <w:rPr>
          <w:rFonts w:eastAsia="Times New Roman"/>
          <w:i/>
          <w:szCs w:val="20"/>
          <w:lang w:eastAsia="en-US"/>
        </w:rPr>
      </w:pPr>
      <w:r w:rsidRPr="00DD61F0">
        <w:rPr>
          <w:rFonts w:eastAsia="Times New Roman"/>
          <w:iCs/>
          <w:szCs w:val="20"/>
          <w:lang w:eastAsia="en-US"/>
        </w:rPr>
        <w:t>The emissions from mercury measuring devices, although relatively small, contribute to the overall emissions of mercury to the environment and thereby also to the exposure of species and of humans via the environment. Therefore, measuring devices containing or using mercury are of concern</w:t>
      </w:r>
      <w:r w:rsidR="000E4E4D">
        <w:rPr>
          <w:rFonts w:eastAsia="Times New Roman"/>
          <w:iCs/>
          <w:szCs w:val="20"/>
          <w:lang w:eastAsia="en-US"/>
        </w:rPr>
        <w:t>.</w:t>
      </w:r>
    </w:p>
    <w:p w14:paraId="2668B2B8" w14:textId="77777777" w:rsidR="00905EDF" w:rsidRDefault="00905EDF" w:rsidP="00905EDF">
      <w:pPr>
        <w:pStyle w:val="Heading1"/>
      </w:pPr>
      <w:bookmarkStart w:id="7" w:name="_Toc154010810"/>
      <w:r>
        <w:t>3</w:t>
      </w:r>
      <w:r w:rsidRPr="007937D9">
        <w:t>.</w:t>
      </w:r>
      <w:r>
        <w:tab/>
      </w:r>
      <w:r w:rsidRPr="00905EDF">
        <w:t>Protective measures that have been applied concerning the chemical</w:t>
      </w:r>
      <w:bookmarkEnd w:id="7"/>
    </w:p>
    <w:p w14:paraId="199CFEC9" w14:textId="77777777" w:rsidR="00AA6543" w:rsidRPr="00AA6543" w:rsidRDefault="00905EDF" w:rsidP="00F56696">
      <w:pPr>
        <w:pStyle w:val="Heading2"/>
        <w:rPr>
          <w:sz w:val="20"/>
          <w:szCs w:val="20"/>
        </w:rPr>
      </w:pPr>
      <w:bookmarkStart w:id="8" w:name="_Toc154010811"/>
      <w:r>
        <w:t>3</w:t>
      </w:r>
      <w:r w:rsidRPr="00B1179D">
        <w:t>.</w:t>
      </w:r>
      <w:r>
        <w:t>1</w:t>
      </w:r>
      <w:r>
        <w:tab/>
      </w:r>
      <w:r w:rsidRPr="00905EDF">
        <w:t>Regulatory measures to reduce exposure</w:t>
      </w:r>
      <w:bookmarkEnd w:id="8"/>
    </w:p>
    <w:p w14:paraId="36E71280" w14:textId="77777777" w:rsidR="00905EDF" w:rsidRPr="00C84737" w:rsidRDefault="00905EDF" w:rsidP="00C84737">
      <w:pPr>
        <w:pStyle w:val="Heading3"/>
      </w:pPr>
      <w:r w:rsidRPr="00C84737">
        <w:t>Colombia</w:t>
      </w:r>
    </w:p>
    <w:p w14:paraId="59BD9C27" w14:textId="77777777" w:rsidR="00AA6543" w:rsidRDefault="00980996" w:rsidP="00AA6543">
      <w:pPr>
        <w:tabs>
          <w:tab w:val="left" w:pos="-720"/>
          <w:tab w:val="left" w:pos="0"/>
          <w:tab w:val="left" w:pos="720"/>
        </w:tabs>
        <w:suppressAutoHyphens/>
        <w:rPr>
          <w:rFonts w:eastAsia="Times New Roman"/>
          <w:bCs/>
          <w:iCs/>
          <w:szCs w:val="20"/>
          <w:lang w:eastAsia="en-US"/>
        </w:rPr>
      </w:pPr>
      <w:r w:rsidRPr="00980996">
        <w:rPr>
          <w:rFonts w:eastAsia="Times New Roman"/>
          <w:bCs/>
          <w:iCs/>
          <w:szCs w:val="20"/>
          <w:lang w:eastAsia="en-US"/>
        </w:rPr>
        <w:t>The government of Colombia</w:t>
      </w:r>
      <w:r>
        <w:rPr>
          <w:rFonts w:eastAsia="Times New Roman"/>
          <w:bCs/>
          <w:iCs/>
          <w:szCs w:val="20"/>
          <w:lang w:eastAsia="en-US"/>
        </w:rPr>
        <w:t xml:space="preserve"> </w:t>
      </w:r>
      <w:r w:rsidRPr="00980996">
        <w:rPr>
          <w:rFonts w:eastAsia="Times New Roman"/>
          <w:bCs/>
          <w:iCs/>
          <w:szCs w:val="20"/>
          <w:lang w:eastAsia="en-US"/>
        </w:rPr>
        <w:t>prohibited the marketing and use of mercury in the different industrial activities under Law 1658 on July 15, 2013, the use of mercury in mining activities from 15 July 2018, and all other industrial activities including the manufacture of dental amalgams from 15 July 2023</w:t>
      </w:r>
      <w:r w:rsidR="00905EDF" w:rsidRPr="00DD61F0">
        <w:rPr>
          <w:rFonts w:eastAsia="Times New Roman"/>
          <w:bCs/>
          <w:iCs/>
          <w:szCs w:val="20"/>
          <w:lang w:eastAsia="en-US"/>
        </w:rPr>
        <w:t>.</w:t>
      </w:r>
    </w:p>
    <w:p w14:paraId="5A1C7456" w14:textId="77777777" w:rsidR="00905EDF" w:rsidRDefault="00905EDF" w:rsidP="00803F46">
      <w:pPr>
        <w:pStyle w:val="Heading3"/>
        <w:keepNext/>
      </w:pPr>
      <w:r>
        <w:lastRenderedPageBreak/>
        <w:t>European Union</w:t>
      </w:r>
    </w:p>
    <w:p w14:paraId="10A7DDDD" w14:textId="77777777" w:rsidR="00905EDF" w:rsidRPr="00DD61F0" w:rsidRDefault="00905EDF" w:rsidP="00905EDF">
      <w:pPr>
        <w:snapToGrid w:val="0"/>
        <w:rPr>
          <w:rFonts w:eastAsia="Times New Roman"/>
          <w:bCs/>
          <w:iCs/>
          <w:szCs w:val="20"/>
          <w:lang w:eastAsia="en-US"/>
        </w:rPr>
      </w:pPr>
      <w:r w:rsidRPr="00DD61F0">
        <w:rPr>
          <w:rFonts w:eastAsia="Times New Roman"/>
          <w:bCs/>
          <w:iCs/>
          <w:szCs w:val="20"/>
          <w:lang w:eastAsia="en-US"/>
        </w:rPr>
        <w:t xml:space="preserve">The final regulatory action notified by the European Union severely restricts the industrial use of mercury in several sectors through different Directives and Regulations. More specifically: </w:t>
      </w:r>
    </w:p>
    <w:p w14:paraId="12F719DD" w14:textId="77777777" w:rsidR="00905EDF" w:rsidRPr="00DD61F0" w:rsidRDefault="00905EDF" w:rsidP="00905EDF">
      <w:pPr>
        <w:numPr>
          <w:ilvl w:val="0"/>
          <w:numId w:val="29"/>
        </w:numPr>
        <w:snapToGrid w:val="0"/>
        <w:rPr>
          <w:rFonts w:eastAsia="Times New Roman"/>
          <w:bCs/>
          <w:iCs/>
          <w:szCs w:val="20"/>
          <w:lang w:eastAsia="en-US"/>
        </w:rPr>
      </w:pPr>
      <w:r w:rsidRPr="00DD61F0">
        <w:rPr>
          <w:rFonts w:eastAsia="Times New Roman"/>
          <w:bCs/>
          <w:iCs/>
          <w:szCs w:val="20"/>
          <w:lang w:eastAsia="en-US"/>
        </w:rPr>
        <w:t xml:space="preserve">In 2006, Directive 2006/66/EC introduced a prohibition on the placing on the market of batteries and accumulators containing mercury; </w:t>
      </w:r>
    </w:p>
    <w:p w14:paraId="2CA7FE11" w14:textId="77777777" w:rsidR="00905EDF" w:rsidRPr="00DD61F0" w:rsidRDefault="00905EDF" w:rsidP="00905EDF">
      <w:pPr>
        <w:numPr>
          <w:ilvl w:val="0"/>
          <w:numId w:val="29"/>
        </w:numPr>
        <w:snapToGrid w:val="0"/>
        <w:rPr>
          <w:rFonts w:eastAsia="Times New Roman"/>
          <w:bCs/>
          <w:iCs/>
          <w:szCs w:val="20"/>
          <w:lang w:eastAsia="en-US"/>
        </w:rPr>
      </w:pPr>
      <w:r w:rsidRPr="00DD61F0">
        <w:rPr>
          <w:rFonts w:eastAsia="Times New Roman"/>
          <w:bCs/>
          <w:iCs/>
          <w:szCs w:val="20"/>
          <w:lang w:eastAsia="en-US"/>
        </w:rPr>
        <w:t xml:space="preserve">In 2007, Directive 2007/51/EC introduced a restriction under Directive 76/769/EEC on the placing on the market of mercury in fever thermometers and in other measuring devices intended for sale to the general public; </w:t>
      </w:r>
    </w:p>
    <w:p w14:paraId="43CA904B" w14:textId="77777777" w:rsidR="00905EDF" w:rsidRPr="00DD61F0" w:rsidRDefault="00905EDF" w:rsidP="00905EDF">
      <w:pPr>
        <w:numPr>
          <w:ilvl w:val="0"/>
          <w:numId w:val="29"/>
        </w:numPr>
        <w:snapToGrid w:val="0"/>
        <w:rPr>
          <w:rFonts w:eastAsia="Times New Roman"/>
          <w:bCs/>
          <w:iCs/>
          <w:szCs w:val="20"/>
          <w:lang w:eastAsia="en-US"/>
        </w:rPr>
      </w:pPr>
      <w:r w:rsidRPr="00DD61F0">
        <w:rPr>
          <w:rFonts w:eastAsia="Times New Roman"/>
          <w:bCs/>
          <w:iCs/>
          <w:szCs w:val="20"/>
          <w:lang w:eastAsia="en-US"/>
        </w:rPr>
        <w:t xml:space="preserve">Regulation (EC) No 1907/2006 (REACH) repealed Directive 76/769/EEC. Commission Regulation (EC) No 552/2009 amended Annex XVII to REACH by incorporating in entry 18.a the restrictions on certain measuring devices containing mercury that was adopted under Directive 2007/51/EC; In 2011, Directive 2011/65/EU (RoHS) established a restriction on the placing on the market of electric and electronic equipment to a maximum concentration value of 0.1% of mercury, allowing exemptions for certain applications for a limited time period; </w:t>
      </w:r>
    </w:p>
    <w:p w14:paraId="4D0E56FA" w14:textId="77777777" w:rsidR="00905EDF" w:rsidRPr="00DD61F0" w:rsidRDefault="00905EDF" w:rsidP="00905EDF">
      <w:pPr>
        <w:numPr>
          <w:ilvl w:val="0"/>
          <w:numId w:val="29"/>
        </w:numPr>
        <w:snapToGrid w:val="0"/>
        <w:rPr>
          <w:rFonts w:eastAsia="Times New Roman"/>
          <w:bCs/>
          <w:iCs/>
          <w:szCs w:val="20"/>
          <w:lang w:eastAsia="en-US"/>
        </w:rPr>
      </w:pPr>
      <w:r w:rsidRPr="00DD61F0">
        <w:rPr>
          <w:rFonts w:eastAsia="Times New Roman"/>
          <w:bCs/>
          <w:iCs/>
          <w:szCs w:val="20"/>
          <w:lang w:eastAsia="en-US"/>
        </w:rPr>
        <w:t>Commission Regulation (EU) No 847/2012 amended Annex XVII to REACH by incorporating in entry 18.a. a restriction on the placing on the market of mercury-containing and mercury- using measuring devices intended for industrial and professional uses. The restriction started to apply from 10 April 2014</w:t>
      </w:r>
      <w:r w:rsidR="00C83837">
        <w:rPr>
          <w:rFonts w:eastAsia="Times New Roman"/>
          <w:bCs/>
          <w:iCs/>
          <w:szCs w:val="20"/>
          <w:lang w:eastAsia="en-US"/>
        </w:rPr>
        <w:t>.</w:t>
      </w:r>
    </w:p>
    <w:p w14:paraId="3A2B8478" w14:textId="77777777" w:rsidR="00905EDF" w:rsidRPr="00AA6543" w:rsidRDefault="00905EDF" w:rsidP="00905EDF">
      <w:pPr>
        <w:tabs>
          <w:tab w:val="left" w:pos="-720"/>
          <w:tab w:val="left" w:pos="0"/>
          <w:tab w:val="left" w:pos="720"/>
        </w:tabs>
        <w:suppressAutoHyphens/>
        <w:snapToGrid w:val="0"/>
        <w:rPr>
          <w:rFonts w:eastAsia="Times New Roman"/>
          <w:szCs w:val="10"/>
          <w:lang w:eastAsia="en-US"/>
        </w:rPr>
      </w:pPr>
      <w:r w:rsidRPr="00DD61F0">
        <w:rPr>
          <w:rFonts w:eastAsia="Times New Roman"/>
          <w:bCs/>
          <w:iCs/>
          <w:szCs w:val="20"/>
          <w:lang w:eastAsia="en-US"/>
        </w:rPr>
        <w:t>Regulation (EU) 2017/852 on mercury was adopted in May 2017. This regulation complements the European Union acquis and lays down the provisions that are needed to ensure the complete alignment of the European Union acquis with the Minamata Convention on Mercury establishing measures and conditions concerning the use and storage of and trade in mercury, mercury compounds and mixtures of mercury, and the manufacture and use of and trade in mercury-added products, and the management of mercury waste.</w:t>
      </w:r>
    </w:p>
    <w:p w14:paraId="3285CCA8" w14:textId="77777777" w:rsidR="00F56696" w:rsidRPr="00AA6543" w:rsidRDefault="00F56696" w:rsidP="00F56696">
      <w:pPr>
        <w:pStyle w:val="Heading2"/>
        <w:rPr>
          <w:sz w:val="20"/>
          <w:szCs w:val="20"/>
        </w:rPr>
      </w:pPr>
      <w:bookmarkStart w:id="9" w:name="_Toc154010812"/>
      <w:r>
        <w:t>3</w:t>
      </w:r>
      <w:r w:rsidRPr="00B1179D">
        <w:t>.</w:t>
      </w:r>
      <w:r>
        <w:t>2</w:t>
      </w:r>
      <w:r>
        <w:tab/>
      </w:r>
      <w:r w:rsidRPr="00F56696">
        <w:t>Other measures to reduce exposure</w:t>
      </w:r>
      <w:bookmarkEnd w:id="9"/>
    </w:p>
    <w:p w14:paraId="5209136F" w14:textId="77777777" w:rsidR="00F56696" w:rsidRPr="00350991" w:rsidRDefault="00F56696" w:rsidP="00C84737">
      <w:pPr>
        <w:pStyle w:val="Heading3"/>
        <w:rPr>
          <w:lang w:val="it-IT"/>
        </w:rPr>
      </w:pPr>
      <w:r w:rsidRPr="00350991">
        <w:rPr>
          <w:lang w:val="it-IT"/>
        </w:rPr>
        <w:t>Colombia</w:t>
      </w:r>
    </w:p>
    <w:p w14:paraId="413B7153" w14:textId="77777777" w:rsidR="00F56696" w:rsidRDefault="00F56696" w:rsidP="00F56696">
      <w:pPr>
        <w:rPr>
          <w:rFonts w:eastAsia="Times New Roman"/>
          <w:szCs w:val="20"/>
          <w:lang w:val="it-IT" w:eastAsia="en-US"/>
        </w:rPr>
      </w:pPr>
      <w:r w:rsidRPr="00350991">
        <w:rPr>
          <w:rFonts w:eastAsia="Times New Roman"/>
          <w:szCs w:val="20"/>
          <w:lang w:val="it-IT" w:eastAsia="en-US"/>
        </w:rPr>
        <w:t>None reported.</w:t>
      </w:r>
    </w:p>
    <w:p w14:paraId="20775B7D" w14:textId="77777777" w:rsidR="00F56696" w:rsidRPr="00C84737" w:rsidRDefault="00F56696" w:rsidP="00C84737">
      <w:pPr>
        <w:pStyle w:val="Heading3"/>
      </w:pPr>
      <w:r w:rsidRPr="00C84737">
        <w:t>European Union</w:t>
      </w:r>
    </w:p>
    <w:p w14:paraId="1DFD9830" w14:textId="77777777" w:rsidR="00F56696" w:rsidRPr="00350991" w:rsidRDefault="00F56696" w:rsidP="00F56696">
      <w:pPr>
        <w:rPr>
          <w:rFonts w:eastAsia="Times New Roman"/>
          <w:szCs w:val="20"/>
          <w:lang w:val="it-IT" w:eastAsia="en-US"/>
        </w:rPr>
      </w:pPr>
      <w:r w:rsidRPr="00350991">
        <w:rPr>
          <w:rFonts w:eastAsia="Times New Roman"/>
          <w:szCs w:val="20"/>
          <w:lang w:val="it-IT" w:eastAsia="en-US"/>
        </w:rPr>
        <w:t>None reported.</w:t>
      </w:r>
    </w:p>
    <w:p w14:paraId="24C431BF" w14:textId="77777777" w:rsidR="00F56696" w:rsidRPr="00AA6543" w:rsidRDefault="00F56696" w:rsidP="00F56696">
      <w:pPr>
        <w:pStyle w:val="Heading2"/>
        <w:rPr>
          <w:sz w:val="20"/>
          <w:szCs w:val="20"/>
        </w:rPr>
      </w:pPr>
      <w:bookmarkStart w:id="10" w:name="_Toc154010813"/>
      <w:r>
        <w:t>3</w:t>
      </w:r>
      <w:r w:rsidRPr="00B1179D">
        <w:t>.</w:t>
      </w:r>
      <w:r>
        <w:t>3</w:t>
      </w:r>
      <w:r>
        <w:tab/>
      </w:r>
      <w:r w:rsidRPr="00F56696">
        <w:t>Alternatives</w:t>
      </w:r>
      <w:bookmarkEnd w:id="10"/>
    </w:p>
    <w:p w14:paraId="15B52ABB" w14:textId="77777777" w:rsidR="00F56696" w:rsidRPr="00350991" w:rsidRDefault="00F56696" w:rsidP="00C84737">
      <w:pPr>
        <w:pStyle w:val="Heading3"/>
        <w:rPr>
          <w:lang w:val="it-IT"/>
        </w:rPr>
      </w:pPr>
      <w:r w:rsidRPr="00350991">
        <w:rPr>
          <w:lang w:val="it-IT"/>
        </w:rPr>
        <w:t>Colombia</w:t>
      </w:r>
    </w:p>
    <w:p w14:paraId="62350034" w14:textId="77777777" w:rsidR="00F56696" w:rsidRDefault="00F56696" w:rsidP="00F56696">
      <w:pPr>
        <w:rPr>
          <w:rFonts w:eastAsia="Times New Roman"/>
          <w:szCs w:val="20"/>
          <w:lang w:val="it-IT" w:eastAsia="en-US"/>
        </w:rPr>
      </w:pPr>
      <w:r w:rsidRPr="00D02204">
        <w:rPr>
          <w:rFonts w:eastAsia="Times New Roman"/>
          <w:szCs w:val="20"/>
          <w:lang w:val="it-IT" w:eastAsia="en-US"/>
        </w:rPr>
        <w:t>N</w:t>
      </w:r>
      <w:r>
        <w:rPr>
          <w:rFonts w:eastAsia="Times New Roman"/>
          <w:szCs w:val="20"/>
          <w:lang w:val="it-IT" w:eastAsia="en-US"/>
        </w:rPr>
        <w:t>o</w:t>
      </w:r>
      <w:r w:rsidRPr="00D02204">
        <w:rPr>
          <w:rFonts w:eastAsia="Times New Roman"/>
          <w:szCs w:val="20"/>
          <w:lang w:val="it-IT" w:eastAsia="en-US"/>
        </w:rPr>
        <w:t xml:space="preserve"> information was provided</w:t>
      </w:r>
      <w:r w:rsidRPr="00350991">
        <w:rPr>
          <w:rFonts w:eastAsia="Times New Roman"/>
          <w:szCs w:val="20"/>
          <w:lang w:val="it-IT" w:eastAsia="en-US"/>
        </w:rPr>
        <w:t>.</w:t>
      </w:r>
    </w:p>
    <w:p w14:paraId="2655B48B" w14:textId="77777777" w:rsidR="00F56696" w:rsidRPr="00350991" w:rsidRDefault="00F56696" w:rsidP="00C84737">
      <w:pPr>
        <w:pStyle w:val="Heading3"/>
        <w:rPr>
          <w:lang w:val="it-IT"/>
        </w:rPr>
      </w:pPr>
      <w:r w:rsidRPr="00350991">
        <w:rPr>
          <w:lang w:val="it-IT"/>
        </w:rPr>
        <w:t>European Union</w:t>
      </w:r>
    </w:p>
    <w:p w14:paraId="40FBF051" w14:textId="77777777" w:rsidR="00F56696" w:rsidRPr="00350991" w:rsidRDefault="00F56696" w:rsidP="00F56696">
      <w:pPr>
        <w:rPr>
          <w:rFonts w:eastAsia="Times New Roman"/>
          <w:szCs w:val="20"/>
          <w:lang w:val="it-IT" w:eastAsia="en-US"/>
        </w:rPr>
      </w:pPr>
      <w:r w:rsidRPr="00D02204">
        <w:rPr>
          <w:rFonts w:eastAsia="Times New Roman"/>
          <w:szCs w:val="20"/>
          <w:lang w:val="en-CA" w:eastAsia="en-US"/>
        </w:rPr>
        <w:t>No information was provided</w:t>
      </w:r>
      <w:r w:rsidRPr="00350991">
        <w:rPr>
          <w:rFonts w:eastAsia="Times New Roman"/>
          <w:szCs w:val="20"/>
          <w:lang w:val="it-IT" w:eastAsia="en-US"/>
        </w:rPr>
        <w:t>.</w:t>
      </w:r>
    </w:p>
    <w:p w14:paraId="1C3F39A1" w14:textId="77777777" w:rsidR="00AA6543" w:rsidRPr="00F56696" w:rsidRDefault="00F56696" w:rsidP="00F56696">
      <w:pPr>
        <w:pStyle w:val="Heading3"/>
        <w:rPr>
          <w:lang w:val="it-IT"/>
        </w:rPr>
      </w:pPr>
      <w:r>
        <w:rPr>
          <w:lang w:val="it-IT"/>
        </w:rPr>
        <w:t>General</w:t>
      </w:r>
    </w:p>
    <w:p w14:paraId="4092A609" w14:textId="77777777" w:rsidR="00905EDF" w:rsidRDefault="00F56696" w:rsidP="00AA6543">
      <w:pPr>
        <w:tabs>
          <w:tab w:val="left" w:pos="-720"/>
          <w:tab w:val="left" w:pos="0"/>
          <w:tab w:val="left" w:pos="720"/>
        </w:tabs>
        <w:suppressAutoHyphens/>
        <w:rPr>
          <w:rFonts w:eastAsia="Times New Roman"/>
          <w:szCs w:val="10"/>
          <w:lang w:eastAsia="en-US"/>
        </w:rPr>
      </w:pPr>
      <w:r w:rsidRPr="0070355F">
        <w:rPr>
          <w:rFonts w:eastAsia="Times New Roman"/>
          <w:szCs w:val="20"/>
          <w:lang w:val="en-CA" w:eastAsia="en-US"/>
        </w:rPr>
        <w:t>The Minamata Convention on Mercury addresses all aspects of the life cycle of mercury, including requiring controls and reductions across a range of products, processes and industries. Updated information on the phase out of products containing mercury and available alternatives to these products</w:t>
      </w:r>
      <w:r w:rsidR="00634F7A">
        <w:rPr>
          <w:rFonts w:eastAsia="Times New Roman"/>
          <w:szCs w:val="20"/>
          <w:lang w:val="en-CA" w:eastAsia="en-US"/>
        </w:rPr>
        <w:t xml:space="preserve">, </w:t>
      </w:r>
      <w:r w:rsidR="0051307F">
        <w:rPr>
          <w:rFonts w:eastAsia="Times New Roman"/>
          <w:szCs w:val="20"/>
          <w:lang w:val="en-CA" w:eastAsia="en-US"/>
        </w:rPr>
        <w:t>including</w:t>
      </w:r>
      <w:r w:rsidR="00372683">
        <w:rPr>
          <w:rFonts w:eastAsia="Times New Roman"/>
          <w:szCs w:val="20"/>
          <w:lang w:val="en-CA" w:eastAsia="en-US"/>
        </w:rPr>
        <w:t xml:space="preserve"> </w:t>
      </w:r>
      <w:r w:rsidR="00634F7A">
        <w:rPr>
          <w:rFonts w:eastAsia="Times New Roman"/>
          <w:szCs w:val="20"/>
          <w:lang w:val="en-CA" w:eastAsia="en-US"/>
        </w:rPr>
        <w:t>alternatives to the use of mercury in manufacturing processes and mining</w:t>
      </w:r>
      <w:r w:rsidRPr="0070355F">
        <w:rPr>
          <w:rFonts w:eastAsia="Times New Roman"/>
          <w:szCs w:val="20"/>
          <w:lang w:val="en-CA" w:eastAsia="en-US"/>
        </w:rPr>
        <w:t xml:space="preserve"> is available on the Convention’s website at </w:t>
      </w:r>
      <w:hyperlink r:id="rId15" w:history="1">
        <w:r w:rsidRPr="007308A2">
          <w:rPr>
            <w:rStyle w:val="Hyperlink"/>
            <w:rFonts w:eastAsia="Times New Roman"/>
            <w:szCs w:val="20"/>
            <w:lang w:val="en-CA" w:eastAsia="en-US"/>
          </w:rPr>
          <w:t>https://minamataconvention.org</w:t>
        </w:r>
      </w:hyperlink>
    </w:p>
    <w:p w14:paraId="54F88B39" w14:textId="77777777" w:rsidR="00CE531F" w:rsidRPr="00AA6543" w:rsidRDefault="00CE531F" w:rsidP="00CE531F">
      <w:pPr>
        <w:pStyle w:val="Heading2"/>
        <w:rPr>
          <w:sz w:val="20"/>
          <w:szCs w:val="20"/>
        </w:rPr>
      </w:pPr>
      <w:bookmarkStart w:id="11" w:name="_Toc154010814"/>
      <w:r>
        <w:t>3</w:t>
      </w:r>
      <w:r w:rsidRPr="00B1179D">
        <w:t>.</w:t>
      </w:r>
      <w:r>
        <w:t>4</w:t>
      </w:r>
      <w:r>
        <w:tab/>
      </w:r>
      <w:r w:rsidRPr="00CE531F">
        <w:t>Socio-economic effects</w:t>
      </w:r>
      <w:bookmarkEnd w:id="11"/>
    </w:p>
    <w:p w14:paraId="5E01EF62" w14:textId="77777777" w:rsidR="00CE531F" w:rsidRPr="00350991" w:rsidRDefault="00CE531F" w:rsidP="00C84737">
      <w:pPr>
        <w:pStyle w:val="Heading3"/>
        <w:rPr>
          <w:lang w:val="it-IT"/>
        </w:rPr>
      </w:pPr>
      <w:r w:rsidRPr="00350991">
        <w:rPr>
          <w:lang w:val="it-IT"/>
        </w:rPr>
        <w:t>Colombia</w:t>
      </w:r>
    </w:p>
    <w:p w14:paraId="0B496F1A" w14:textId="77777777" w:rsidR="00CE531F" w:rsidRDefault="00CE531F" w:rsidP="00CE531F">
      <w:pPr>
        <w:rPr>
          <w:rFonts w:eastAsia="Times New Roman"/>
          <w:szCs w:val="20"/>
          <w:lang w:val="it-IT" w:eastAsia="en-US"/>
        </w:rPr>
      </w:pPr>
      <w:r w:rsidRPr="00331CB2">
        <w:rPr>
          <w:szCs w:val="20"/>
        </w:rPr>
        <w:t>No assessment of socio-economic effects was reported</w:t>
      </w:r>
      <w:r w:rsidRPr="00350991">
        <w:rPr>
          <w:rFonts w:eastAsia="Times New Roman"/>
          <w:szCs w:val="20"/>
          <w:lang w:val="it-IT" w:eastAsia="en-US"/>
        </w:rPr>
        <w:t>.</w:t>
      </w:r>
    </w:p>
    <w:p w14:paraId="1B37EC86" w14:textId="77777777" w:rsidR="00CE531F" w:rsidRPr="00350991" w:rsidRDefault="00CE531F" w:rsidP="00C84737">
      <w:pPr>
        <w:pStyle w:val="Heading3"/>
        <w:rPr>
          <w:lang w:val="it-IT"/>
        </w:rPr>
      </w:pPr>
      <w:r w:rsidRPr="00350991">
        <w:rPr>
          <w:lang w:val="it-IT"/>
        </w:rPr>
        <w:t>European Union</w:t>
      </w:r>
    </w:p>
    <w:p w14:paraId="4B798D5F" w14:textId="77777777" w:rsidR="00CE531F" w:rsidRPr="00350991" w:rsidRDefault="00CE531F" w:rsidP="00CE531F">
      <w:pPr>
        <w:rPr>
          <w:rFonts w:eastAsia="Times New Roman"/>
          <w:szCs w:val="20"/>
          <w:lang w:val="it-IT" w:eastAsia="en-US"/>
        </w:rPr>
      </w:pPr>
      <w:r w:rsidRPr="00331CB2">
        <w:rPr>
          <w:szCs w:val="20"/>
        </w:rPr>
        <w:t>No assessment of socio-economic effects was reported</w:t>
      </w:r>
      <w:r w:rsidRPr="00350991">
        <w:rPr>
          <w:rFonts w:eastAsia="Times New Roman"/>
          <w:szCs w:val="20"/>
          <w:lang w:val="it-IT" w:eastAsia="en-US"/>
        </w:rPr>
        <w:t>.</w:t>
      </w:r>
    </w:p>
    <w:p w14:paraId="1131544D" w14:textId="77777777" w:rsidR="00CE531F" w:rsidRDefault="00CE531F" w:rsidP="00803F46">
      <w:pPr>
        <w:pStyle w:val="Heading1"/>
      </w:pPr>
      <w:bookmarkStart w:id="12" w:name="_Toc154010815"/>
      <w:r>
        <w:lastRenderedPageBreak/>
        <w:t>4</w:t>
      </w:r>
      <w:r w:rsidRPr="007937D9">
        <w:t>.</w:t>
      </w:r>
      <w:r>
        <w:tab/>
      </w:r>
      <w:r w:rsidRPr="00CE531F">
        <w:t xml:space="preserve">Hazards and </w:t>
      </w:r>
      <w:r>
        <w:t>r</w:t>
      </w:r>
      <w:r w:rsidRPr="00CE531F">
        <w:t>isks to human health and the environment</w:t>
      </w:r>
      <w:bookmarkEnd w:id="12"/>
      <w:r w:rsidR="00634F7A" w:rsidRPr="00634F7A">
        <w:rPr>
          <w:vertAlign w:val="superscript"/>
        </w:rPr>
        <w:t>1</w:t>
      </w:r>
    </w:p>
    <w:p w14:paraId="2C7BB8D5" w14:textId="77777777" w:rsidR="002335EE" w:rsidRDefault="002335EE" w:rsidP="00803F46">
      <w:pPr>
        <w:pStyle w:val="Heading2"/>
      </w:pPr>
      <w:bookmarkStart w:id="13" w:name="_Toc154010816"/>
      <w:r>
        <w:t>4</w:t>
      </w:r>
      <w:r w:rsidRPr="00B1179D">
        <w:t>.</w:t>
      </w:r>
      <w:r>
        <w:t>1</w:t>
      </w:r>
      <w:r>
        <w:tab/>
      </w:r>
      <w:r w:rsidRPr="002335EE">
        <w:t>Hazard Classification</w:t>
      </w:r>
      <w:bookmarkEnd w:id="13"/>
    </w:p>
    <w:tbl>
      <w:tblPr>
        <w:tblW w:w="9783" w:type="dxa"/>
        <w:tblInd w:w="-34" w:type="dxa"/>
        <w:tblLayout w:type="fixed"/>
        <w:tblLook w:val="0000" w:firstRow="0" w:lastRow="0" w:firstColumn="0" w:lastColumn="0" w:noHBand="0" w:noVBand="0"/>
      </w:tblPr>
      <w:tblGrid>
        <w:gridCol w:w="1561"/>
        <w:gridCol w:w="8222"/>
      </w:tblGrid>
      <w:tr w:rsidR="002335EE" w:rsidRPr="00B1179D" w14:paraId="1738723B" w14:textId="77777777" w:rsidTr="006C72FE">
        <w:trPr>
          <w:cantSplit/>
        </w:trPr>
        <w:tc>
          <w:tcPr>
            <w:tcW w:w="1561" w:type="dxa"/>
            <w:tcBorders>
              <w:top w:val="single" w:sz="4" w:space="0" w:color="auto"/>
              <w:left w:val="single" w:sz="4" w:space="0" w:color="auto"/>
              <w:bottom w:val="single" w:sz="4" w:space="0" w:color="auto"/>
              <w:right w:val="single" w:sz="4" w:space="0" w:color="auto"/>
            </w:tcBorders>
          </w:tcPr>
          <w:p w14:paraId="216E9953" w14:textId="77777777" w:rsidR="002335EE" w:rsidRPr="00C84737" w:rsidRDefault="002335EE" w:rsidP="00803F46">
            <w:pPr>
              <w:keepNext/>
              <w:rPr>
                <w:b/>
                <w:bCs/>
                <w:lang w:eastAsia="en-US"/>
              </w:rPr>
            </w:pPr>
            <w:r w:rsidRPr="00C84737">
              <w:rPr>
                <w:b/>
                <w:bCs/>
                <w:lang w:eastAsia="en-US"/>
              </w:rPr>
              <w:t>WHO / IPCS</w:t>
            </w:r>
          </w:p>
        </w:tc>
        <w:tc>
          <w:tcPr>
            <w:tcW w:w="8222" w:type="dxa"/>
            <w:tcBorders>
              <w:top w:val="single" w:sz="4" w:space="0" w:color="auto"/>
              <w:left w:val="single" w:sz="4" w:space="0" w:color="auto"/>
              <w:bottom w:val="single" w:sz="4" w:space="0" w:color="auto"/>
              <w:right w:val="single" w:sz="4" w:space="0" w:color="auto"/>
            </w:tcBorders>
          </w:tcPr>
          <w:p w14:paraId="2AFCC5BE" w14:textId="77777777" w:rsidR="002335EE" w:rsidRDefault="002335EE" w:rsidP="00803F46">
            <w:pPr>
              <w:keepNext/>
              <w:spacing w:before="40" w:after="40"/>
              <w:rPr>
                <w:rFonts w:eastAsia="Times New Roman"/>
                <w:szCs w:val="20"/>
                <w:lang w:eastAsia="en-US"/>
              </w:rPr>
            </w:pPr>
            <w:r>
              <w:rPr>
                <w:rFonts w:eastAsia="Times New Roman"/>
                <w:szCs w:val="20"/>
                <w:lang w:eastAsia="en-US"/>
              </w:rPr>
              <w:t xml:space="preserve">Mercuric chloride, Class </w:t>
            </w:r>
            <w:proofErr w:type="spellStart"/>
            <w:r>
              <w:rPr>
                <w:rFonts w:eastAsia="Times New Roman"/>
                <w:szCs w:val="20"/>
                <w:lang w:eastAsia="en-US"/>
              </w:rPr>
              <w:t>Ib</w:t>
            </w:r>
            <w:proofErr w:type="spellEnd"/>
          </w:p>
          <w:p w14:paraId="3E3AD387" w14:textId="77777777" w:rsidR="002335EE" w:rsidRDefault="002335EE" w:rsidP="00803F46">
            <w:pPr>
              <w:keepNext/>
              <w:spacing w:before="40" w:after="40"/>
              <w:rPr>
                <w:rFonts w:eastAsia="Times New Roman"/>
                <w:szCs w:val="20"/>
                <w:lang w:eastAsia="en-US"/>
              </w:rPr>
            </w:pPr>
            <w:r>
              <w:rPr>
                <w:rFonts w:eastAsia="Times New Roman"/>
                <w:szCs w:val="20"/>
                <w:lang w:eastAsia="en-US"/>
              </w:rPr>
              <w:t xml:space="preserve">Mercuric oxide, Class </w:t>
            </w:r>
            <w:proofErr w:type="spellStart"/>
            <w:r>
              <w:rPr>
                <w:rFonts w:eastAsia="Times New Roman"/>
                <w:szCs w:val="20"/>
                <w:lang w:eastAsia="en-US"/>
              </w:rPr>
              <w:t>Ib</w:t>
            </w:r>
            <w:proofErr w:type="spellEnd"/>
            <w:r>
              <w:rPr>
                <w:rFonts w:eastAsia="Times New Roman"/>
                <w:szCs w:val="20"/>
                <w:lang w:eastAsia="en-US"/>
              </w:rPr>
              <w:t xml:space="preserve"> </w:t>
            </w:r>
          </w:p>
          <w:p w14:paraId="71D1C326" w14:textId="77777777" w:rsidR="002335EE" w:rsidRPr="00B1179D" w:rsidRDefault="002335EE" w:rsidP="00803F46">
            <w:pPr>
              <w:keepNext/>
              <w:spacing w:before="40" w:after="40"/>
              <w:rPr>
                <w:rFonts w:eastAsia="Times New Roman"/>
                <w:szCs w:val="20"/>
                <w:lang w:eastAsia="en-US"/>
              </w:rPr>
            </w:pPr>
            <w:r>
              <w:rPr>
                <w:rFonts w:eastAsia="Times New Roman"/>
                <w:szCs w:val="20"/>
                <w:lang w:eastAsia="en-US"/>
              </w:rPr>
              <w:t>Mercurous chloride, Class II</w:t>
            </w:r>
          </w:p>
        </w:tc>
      </w:tr>
      <w:tr w:rsidR="002335EE" w:rsidRPr="00B1179D" w14:paraId="4A2E471A" w14:textId="77777777" w:rsidTr="006C72FE">
        <w:trPr>
          <w:cantSplit/>
        </w:trPr>
        <w:tc>
          <w:tcPr>
            <w:tcW w:w="1561" w:type="dxa"/>
            <w:tcBorders>
              <w:top w:val="single" w:sz="4" w:space="0" w:color="auto"/>
              <w:left w:val="single" w:sz="4" w:space="0" w:color="auto"/>
              <w:bottom w:val="single" w:sz="4" w:space="0" w:color="auto"/>
              <w:right w:val="single" w:sz="4" w:space="0" w:color="auto"/>
            </w:tcBorders>
          </w:tcPr>
          <w:p w14:paraId="6B830AC9" w14:textId="77777777" w:rsidR="002335EE" w:rsidRPr="00C84737" w:rsidRDefault="002335EE" w:rsidP="00C84737">
            <w:pPr>
              <w:rPr>
                <w:b/>
                <w:bCs/>
                <w:lang w:eastAsia="en-US"/>
              </w:rPr>
            </w:pPr>
            <w:smartTag w:uri="urn:schemas-microsoft-com:office:smarttags" w:element="stockticker">
              <w:r w:rsidRPr="00C84737">
                <w:rPr>
                  <w:b/>
                  <w:bCs/>
                  <w:lang w:eastAsia="en-US"/>
                </w:rPr>
                <w:t>IARC</w:t>
              </w:r>
            </w:smartTag>
          </w:p>
        </w:tc>
        <w:tc>
          <w:tcPr>
            <w:tcW w:w="8222" w:type="dxa"/>
            <w:tcBorders>
              <w:top w:val="single" w:sz="4" w:space="0" w:color="auto"/>
              <w:left w:val="single" w:sz="4" w:space="0" w:color="auto"/>
              <w:bottom w:val="single" w:sz="4" w:space="0" w:color="auto"/>
              <w:right w:val="single" w:sz="4" w:space="0" w:color="auto"/>
            </w:tcBorders>
          </w:tcPr>
          <w:p w14:paraId="1D41BA8E" w14:textId="77777777" w:rsidR="002335EE" w:rsidRDefault="002335EE" w:rsidP="000E6231">
            <w:pPr>
              <w:spacing w:before="40" w:after="40"/>
              <w:rPr>
                <w:rFonts w:eastAsia="Times New Roman"/>
                <w:szCs w:val="20"/>
                <w:lang w:eastAsia="en-US"/>
              </w:rPr>
            </w:pPr>
            <w:r>
              <w:rPr>
                <w:rFonts w:eastAsia="Times New Roman"/>
                <w:szCs w:val="20"/>
                <w:lang w:eastAsia="en-US"/>
              </w:rPr>
              <w:t>Group 3 (</w:t>
            </w:r>
            <w:r w:rsidRPr="00075F4C">
              <w:rPr>
                <w:rFonts w:eastAsia="Times New Roman"/>
                <w:szCs w:val="20"/>
                <w:lang w:eastAsia="en-US"/>
              </w:rPr>
              <w:t>not classifiable as to their carcinogenicity to humans</w:t>
            </w:r>
            <w:r>
              <w:rPr>
                <w:rFonts w:eastAsia="Times New Roman"/>
                <w:szCs w:val="20"/>
                <w:lang w:eastAsia="en-US"/>
              </w:rPr>
              <w:t>)</w:t>
            </w:r>
          </w:p>
          <w:p w14:paraId="7D9EA509" w14:textId="77777777" w:rsidR="002335EE" w:rsidRPr="00B1179D" w:rsidRDefault="002335EE" w:rsidP="000E6231">
            <w:pPr>
              <w:spacing w:before="40" w:after="40"/>
              <w:rPr>
                <w:rFonts w:eastAsia="Times New Roman"/>
                <w:szCs w:val="20"/>
                <w:lang w:eastAsia="en-US"/>
              </w:rPr>
            </w:pPr>
            <w:r>
              <w:rPr>
                <w:rFonts w:eastAsia="Times New Roman"/>
                <w:szCs w:val="20"/>
                <w:lang w:eastAsia="en-US"/>
              </w:rPr>
              <w:t>Methylmercury, Group 2B (possibly carcinogenic to humans)</w:t>
            </w:r>
          </w:p>
        </w:tc>
      </w:tr>
      <w:tr w:rsidR="002335EE" w:rsidRPr="00B1179D" w14:paraId="27E169D7" w14:textId="77777777" w:rsidTr="006C72FE">
        <w:trPr>
          <w:cantSplit/>
        </w:trPr>
        <w:tc>
          <w:tcPr>
            <w:tcW w:w="1561" w:type="dxa"/>
            <w:tcBorders>
              <w:top w:val="single" w:sz="4" w:space="0" w:color="auto"/>
              <w:left w:val="single" w:sz="6" w:space="0" w:color="auto"/>
              <w:bottom w:val="single" w:sz="6" w:space="0" w:color="auto"/>
              <w:right w:val="single" w:sz="6" w:space="0" w:color="auto"/>
            </w:tcBorders>
          </w:tcPr>
          <w:p w14:paraId="6C6A7B99" w14:textId="77777777" w:rsidR="002335EE" w:rsidRPr="00C84737" w:rsidRDefault="002335EE" w:rsidP="00C84737">
            <w:pPr>
              <w:rPr>
                <w:b/>
                <w:bCs/>
                <w:lang w:eastAsia="en-US"/>
              </w:rPr>
            </w:pPr>
            <w:r w:rsidRPr="00C84737">
              <w:rPr>
                <w:b/>
                <w:bCs/>
                <w:lang w:eastAsia="en-US"/>
              </w:rPr>
              <w:t>European Union</w:t>
            </w:r>
          </w:p>
        </w:tc>
        <w:tc>
          <w:tcPr>
            <w:tcW w:w="8222" w:type="dxa"/>
            <w:tcBorders>
              <w:top w:val="single" w:sz="4" w:space="0" w:color="auto"/>
              <w:bottom w:val="single" w:sz="6" w:space="0" w:color="auto"/>
              <w:right w:val="single" w:sz="6" w:space="0" w:color="auto"/>
            </w:tcBorders>
          </w:tcPr>
          <w:p w14:paraId="4C147D8A" w14:textId="77777777" w:rsidR="002335EE" w:rsidRDefault="002335EE" w:rsidP="000E6231">
            <w:pPr>
              <w:spacing w:before="40" w:after="40"/>
              <w:rPr>
                <w:rFonts w:eastAsia="Times New Roman"/>
                <w:szCs w:val="20"/>
                <w:lang w:eastAsia="en-US"/>
              </w:rPr>
            </w:pPr>
            <w:r>
              <w:rPr>
                <w:rFonts w:eastAsia="Times New Roman"/>
                <w:szCs w:val="20"/>
                <w:lang w:eastAsia="en-US"/>
              </w:rPr>
              <w:t xml:space="preserve">Acute Tox 2 : H330 - </w:t>
            </w:r>
            <w:r w:rsidR="00D609EE">
              <w:rPr>
                <w:rFonts w:eastAsia="Times New Roman"/>
                <w:szCs w:val="20"/>
                <w:lang w:eastAsia="en-US"/>
              </w:rPr>
              <w:t>f</w:t>
            </w:r>
            <w:r>
              <w:rPr>
                <w:rFonts w:eastAsia="Times New Roman"/>
                <w:szCs w:val="20"/>
                <w:lang w:eastAsia="en-US"/>
              </w:rPr>
              <w:t>atal if inhaled.</w:t>
            </w:r>
          </w:p>
          <w:p w14:paraId="4920F2C5" w14:textId="77777777" w:rsidR="002335EE" w:rsidRDefault="002335EE" w:rsidP="000E6231">
            <w:pPr>
              <w:spacing w:before="40" w:after="40"/>
              <w:rPr>
                <w:rFonts w:eastAsia="Times New Roman"/>
                <w:szCs w:val="20"/>
                <w:lang w:eastAsia="en-US"/>
              </w:rPr>
            </w:pPr>
            <w:r>
              <w:rPr>
                <w:rFonts w:eastAsia="Times New Roman"/>
                <w:szCs w:val="20"/>
                <w:lang w:eastAsia="en-US"/>
              </w:rPr>
              <w:t>STOT RE 1: H372 – causes damage to organs through prolonged or repeated exposure .</w:t>
            </w:r>
          </w:p>
          <w:p w14:paraId="100E4F07" w14:textId="77777777" w:rsidR="002335EE" w:rsidRDefault="002335EE" w:rsidP="000E6231">
            <w:pPr>
              <w:spacing w:before="40" w:after="40"/>
              <w:rPr>
                <w:rFonts w:eastAsia="Times New Roman"/>
                <w:szCs w:val="20"/>
                <w:lang w:eastAsia="en-US"/>
              </w:rPr>
            </w:pPr>
            <w:r>
              <w:rPr>
                <w:rFonts w:eastAsia="Times New Roman"/>
                <w:szCs w:val="20"/>
                <w:lang w:eastAsia="en-US"/>
              </w:rPr>
              <w:t>Aquatic Acute</w:t>
            </w:r>
            <w:r w:rsidR="00980996">
              <w:rPr>
                <w:rFonts w:eastAsia="Times New Roman"/>
                <w:szCs w:val="20"/>
                <w:lang w:eastAsia="en-US"/>
              </w:rPr>
              <w:t xml:space="preserve"> 1</w:t>
            </w:r>
            <w:r>
              <w:rPr>
                <w:rFonts w:eastAsia="Times New Roman"/>
                <w:szCs w:val="20"/>
                <w:lang w:eastAsia="en-US"/>
              </w:rPr>
              <w:t xml:space="preserve">: H400 – very toxic to aquatic </w:t>
            </w:r>
            <w:r w:rsidR="00980996">
              <w:rPr>
                <w:rFonts w:eastAsia="Times New Roman"/>
                <w:szCs w:val="20"/>
                <w:lang w:eastAsia="en-US"/>
              </w:rPr>
              <w:t>l</w:t>
            </w:r>
            <w:r>
              <w:rPr>
                <w:rFonts w:eastAsia="Times New Roman"/>
                <w:szCs w:val="20"/>
                <w:lang w:eastAsia="en-US"/>
              </w:rPr>
              <w:t>ife.</w:t>
            </w:r>
          </w:p>
          <w:p w14:paraId="0FFA82C2" w14:textId="77777777" w:rsidR="002335EE" w:rsidRDefault="002335EE" w:rsidP="000E6231">
            <w:pPr>
              <w:spacing w:before="40" w:after="40"/>
              <w:rPr>
                <w:rFonts w:eastAsia="Times New Roman"/>
                <w:szCs w:val="20"/>
                <w:lang w:eastAsia="en-US"/>
              </w:rPr>
            </w:pPr>
            <w:r>
              <w:rPr>
                <w:rFonts w:eastAsia="Times New Roman"/>
                <w:szCs w:val="20"/>
                <w:lang w:eastAsia="en-US"/>
              </w:rPr>
              <w:t>Aquatic Chronic 1: H410 – very toxic to aquatic life with long lasting effects.</w:t>
            </w:r>
          </w:p>
          <w:p w14:paraId="1876FD55" w14:textId="77777777" w:rsidR="002335EE" w:rsidRPr="00B1179D" w:rsidRDefault="002335EE" w:rsidP="000E6231">
            <w:pPr>
              <w:spacing w:before="40" w:after="40"/>
              <w:rPr>
                <w:rFonts w:eastAsia="Times New Roman"/>
                <w:szCs w:val="20"/>
                <w:lang w:eastAsia="en-US"/>
              </w:rPr>
            </w:pPr>
            <w:proofErr w:type="spellStart"/>
            <w:r>
              <w:rPr>
                <w:rFonts w:eastAsia="Times New Roman"/>
                <w:szCs w:val="20"/>
                <w:lang w:eastAsia="en-US"/>
              </w:rPr>
              <w:t>Repr</w:t>
            </w:r>
            <w:proofErr w:type="spellEnd"/>
            <w:r>
              <w:rPr>
                <w:rFonts w:eastAsia="Times New Roman"/>
                <w:szCs w:val="20"/>
                <w:lang w:eastAsia="en-US"/>
              </w:rPr>
              <w:t>. 1B: H360D – may damage the unborn child.</w:t>
            </w:r>
          </w:p>
        </w:tc>
      </w:tr>
      <w:tr w:rsidR="002335EE" w:rsidRPr="00B1179D" w14:paraId="5F8DB40F" w14:textId="77777777" w:rsidTr="006C72FE">
        <w:trPr>
          <w:cantSplit/>
        </w:trPr>
        <w:tc>
          <w:tcPr>
            <w:tcW w:w="1561" w:type="dxa"/>
            <w:tcBorders>
              <w:top w:val="single" w:sz="4" w:space="0" w:color="auto"/>
              <w:left w:val="single" w:sz="6" w:space="0" w:color="auto"/>
              <w:bottom w:val="single" w:sz="6" w:space="0" w:color="auto"/>
              <w:right w:val="single" w:sz="6" w:space="0" w:color="auto"/>
            </w:tcBorders>
          </w:tcPr>
          <w:p w14:paraId="0DA62D48" w14:textId="77777777" w:rsidR="002335EE" w:rsidRPr="00C84737" w:rsidRDefault="002335EE" w:rsidP="00C84737">
            <w:pPr>
              <w:rPr>
                <w:b/>
                <w:bCs/>
                <w:lang w:eastAsia="en-US"/>
              </w:rPr>
            </w:pPr>
            <w:r w:rsidRPr="00C84737">
              <w:rPr>
                <w:b/>
                <w:bCs/>
                <w:lang w:eastAsia="en-US"/>
              </w:rPr>
              <w:t>US EPA</w:t>
            </w:r>
          </w:p>
        </w:tc>
        <w:tc>
          <w:tcPr>
            <w:tcW w:w="8222" w:type="dxa"/>
            <w:tcBorders>
              <w:bottom w:val="single" w:sz="6" w:space="0" w:color="auto"/>
              <w:right w:val="single" w:sz="6" w:space="0" w:color="auto"/>
            </w:tcBorders>
          </w:tcPr>
          <w:p w14:paraId="3B23E445" w14:textId="77777777" w:rsidR="002335EE" w:rsidRPr="007C3C6A" w:rsidRDefault="002335EE" w:rsidP="000E6231">
            <w:pPr>
              <w:spacing w:before="40" w:after="40"/>
              <w:rPr>
                <w:rFonts w:eastAsia="Times New Roman"/>
                <w:iCs/>
                <w:szCs w:val="20"/>
                <w:lang w:eastAsia="en-US"/>
              </w:rPr>
            </w:pPr>
            <w:r w:rsidRPr="007C3C6A">
              <w:rPr>
                <w:rFonts w:eastAsia="Times New Roman"/>
                <w:iCs/>
                <w:szCs w:val="20"/>
                <w:lang w:eastAsia="en-US"/>
              </w:rPr>
              <w:t>Carcinogenicity classification</w:t>
            </w:r>
            <w:r>
              <w:rPr>
                <w:rFonts w:eastAsia="Times New Roman"/>
                <w:iCs/>
                <w:szCs w:val="20"/>
                <w:lang w:eastAsia="en-US"/>
              </w:rPr>
              <w:t>:</w:t>
            </w:r>
          </w:p>
          <w:p w14:paraId="6AF8FEFC" w14:textId="77777777" w:rsidR="002335EE" w:rsidRPr="007C3C6A" w:rsidRDefault="002335EE" w:rsidP="000E6231">
            <w:pPr>
              <w:spacing w:before="40" w:after="40"/>
              <w:rPr>
                <w:rFonts w:eastAsia="Times New Roman"/>
                <w:iCs/>
                <w:szCs w:val="20"/>
                <w:lang w:eastAsia="en-US"/>
              </w:rPr>
            </w:pPr>
            <w:r w:rsidRPr="007C3C6A">
              <w:rPr>
                <w:rFonts w:eastAsia="Times New Roman"/>
                <w:iCs/>
                <w:szCs w:val="20"/>
                <w:lang w:eastAsia="en-US"/>
              </w:rPr>
              <w:t>Mercury, elemental D</w:t>
            </w:r>
            <w:r>
              <w:rPr>
                <w:rFonts w:eastAsia="Times New Roman"/>
                <w:iCs/>
                <w:szCs w:val="20"/>
                <w:lang w:eastAsia="en-US"/>
              </w:rPr>
              <w:t xml:space="preserve"> (</w:t>
            </w:r>
            <w:r w:rsidRPr="007C3C6A">
              <w:rPr>
                <w:rFonts w:eastAsia="Times New Roman"/>
                <w:iCs/>
                <w:szCs w:val="20"/>
                <w:lang w:eastAsia="en-US"/>
              </w:rPr>
              <w:t>IRIS 1995</w:t>
            </w:r>
            <w:r>
              <w:rPr>
                <w:rFonts w:eastAsia="Times New Roman"/>
                <w:iCs/>
                <w:szCs w:val="20"/>
                <w:lang w:eastAsia="en-US"/>
              </w:rPr>
              <w:t>a)</w:t>
            </w:r>
          </w:p>
          <w:p w14:paraId="6D5AF42B" w14:textId="77777777" w:rsidR="002335EE" w:rsidRPr="007C3C6A" w:rsidRDefault="002335EE" w:rsidP="000E6231">
            <w:pPr>
              <w:spacing w:before="40" w:after="40"/>
              <w:rPr>
                <w:rFonts w:eastAsia="Times New Roman"/>
                <w:iCs/>
                <w:szCs w:val="20"/>
                <w:lang w:eastAsia="en-US"/>
              </w:rPr>
            </w:pPr>
            <w:r w:rsidRPr="007C3C6A">
              <w:rPr>
                <w:rFonts w:eastAsia="Times New Roman"/>
                <w:iCs/>
                <w:szCs w:val="20"/>
                <w:lang w:eastAsia="en-US"/>
              </w:rPr>
              <w:t>Mercuric chloride C</w:t>
            </w:r>
            <w:r>
              <w:rPr>
                <w:rFonts w:eastAsia="Times New Roman"/>
                <w:iCs/>
                <w:szCs w:val="20"/>
                <w:lang w:eastAsia="en-US"/>
              </w:rPr>
              <w:t xml:space="preserve"> (</w:t>
            </w:r>
            <w:r w:rsidRPr="007C3C6A">
              <w:rPr>
                <w:rFonts w:eastAsia="Times New Roman"/>
                <w:iCs/>
                <w:szCs w:val="20"/>
                <w:lang w:eastAsia="en-US"/>
              </w:rPr>
              <w:t>IRIS 1995</w:t>
            </w:r>
            <w:r>
              <w:rPr>
                <w:rFonts w:eastAsia="Times New Roman"/>
                <w:iCs/>
                <w:szCs w:val="20"/>
                <w:lang w:eastAsia="en-US"/>
              </w:rPr>
              <w:t>b)</w:t>
            </w:r>
          </w:p>
          <w:p w14:paraId="555601BE" w14:textId="77777777" w:rsidR="002335EE" w:rsidRPr="00B1179D" w:rsidRDefault="002335EE" w:rsidP="000E6231">
            <w:pPr>
              <w:spacing w:before="40" w:after="40"/>
              <w:rPr>
                <w:rFonts w:eastAsia="Times New Roman"/>
                <w:i/>
                <w:szCs w:val="20"/>
                <w:lang w:eastAsia="en-US"/>
              </w:rPr>
            </w:pPr>
            <w:r w:rsidRPr="007C3C6A">
              <w:rPr>
                <w:rFonts w:eastAsia="Times New Roman"/>
                <w:iCs/>
                <w:szCs w:val="20"/>
                <w:lang w:eastAsia="en-US"/>
              </w:rPr>
              <w:t>Methylmercury C</w:t>
            </w:r>
            <w:r>
              <w:rPr>
                <w:rFonts w:eastAsia="Times New Roman"/>
                <w:iCs/>
                <w:szCs w:val="20"/>
                <w:lang w:eastAsia="en-US"/>
              </w:rPr>
              <w:t xml:space="preserve"> (IRIS2001)</w:t>
            </w:r>
          </w:p>
        </w:tc>
      </w:tr>
    </w:tbl>
    <w:p w14:paraId="5A417BB7" w14:textId="77777777" w:rsidR="00634F7A" w:rsidRPr="00634F7A" w:rsidRDefault="00634F7A" w:rsidP="009E6CB7">
      <w:pPr>
        <w:pStyle w:val="Heading2"/>
        <w:rPr>
          <w:b w:val="0"/>
          <w:bCs w:val="0"/>
          <w:sz w:val="16"/>
          <w:szCs w:val="16"/>
        </w:rPr>
      </w:pPr>
      <w:bookmarkStart w:id="14" w:name="_Toc154010817"/>
      <w:r w:rsidRPr="00634F7A">
        <w:rPr>
          <w:b w:val="0"/>
          <w:bCs w:val="0"/>
          <w:sz w:val="18"/>
          <w:szCs w:val="18"/>
          <w:vertAlign w:val="superscript"/>
        </w:rPr>
        <w:t>1</w:t>
      </w:r>
      <w:r w:rsidRPr="00634F7A">
        <w:rPr>
          <w:b w:val="0"/>
          <w:bCs w:val="0"/>
          <w:sz w:val="16"/>
          <w:szCs w:val="16"/>
        </w:rPr>
        <w:t xml:space="preserve">: </w:t>
      </w:r>
      <w:r w:rsidR="00C83837">
        <w:rPr>
          <w:b w:val="0"/>
          <w:bCs w:val="0"/>
          <w:sz w:val="18"/>
          <w:szCs w:val="18"/>
        </w:rPr>
        <w:t>E</w:t>
      </w:r>
      <w:r w:rsidRPr="00634F7A">
        <w:rPr>
          <w:b w:val="0"/>
          <w:bCs w:val="0"/>
          <w:sz w:val="18"/>
          <w:szCs w:val="18"/>
        </w:rPr>
        <w:t xml:space="preserve">lemental mercury is ionized and </w:t>
      </w:r>
      <w:proofErr w:type="spellStart"/>
      <w:r w:rsidRPr="00634F7A">
        <w:rPr>
          <w:b w:val="0"/>
          <w:bCs w:val="0"/>
          <w:sz w:val="18"/>
          <w:szCs w:val="18"/>
        </w:rPr>
        <w:t>methylized</w:t>
      </w:r>
      <w:proofErr w:type="spellEnd"/>
      <w:r w:rsidRPr="00634F7A">
        <w:rPr>
          <w:b w:val="0"/>
          <w:bCs w:val="0"/>
          <w:sz w:val="18"/>
          <w:szCs w:val="18"/>
        </w:rPr>
        <w:t xml:space="preserve"> in the environment and therefore this chapter includes information on hazard, exposure and risk of mercury compounds.</w:t>
      </w:r>
    </w:p>
    <w:p w14:paraId="1D33F446" w14:textId="77777777" w:rsidR="002335EE" w:rsidRPr="00AA6543" w:rsidRDefault="002335EE" w:rsidP="009E6CB7">
      <w:pPr>
        <w:pStyle w:val="Heading2"/>
        <w:rPr>
          <w:sz w:val="20"/>
          <w:szCs w:val="20"/>
        </w:rPr>
      </w:pPr>
      <w:r>
        <w:t>4</w:t>
      </w:r>
      <w:r w:rsidRPr="00B1179D">
        <w:t>.</w:t>
      </w:r>
      <w:r>
        <w:t>2</w:t>
      </w:r>
      <w:r>
        <w:tab/>
      </w:r>
      <w:r w:rsidRPr="002335EE">
        <w:t>Exposure limits</w:t>
      </w:r>
      <w:bookmarkEnd w:id="14"/>
    </w:p>
    <w:p w14:paraId="6D2EDE45" w14:textId="77777777" w:rsidR="002335EE" w:rsidRPr="001B6D6C" w:rsidRDefault="002335EE" w:rsidP="009E6CB7">
      <w:pPr>
        <w:pStyle w:val="Heading3"/>
        <w:keepNext/>
      </w:pPr>
      <w:r w:rsidRPr="001B6D6C">
        <w:t>WHO (20</w:t>
      </w:r>
      <w:r>
        <w:t>21</w:t>
      </w:r>
      <w:r w:rsidRPr="001B6D6C">
        <w:t>)</w:t>
      </w:r>
    </w:p>
    <w:p w14:paraId="3A11E9CA" w14:textId="77777777" w:rsidR="002335EE" w:rsidRDefault="002335EE" w:rsidP="002335EE">
      <w:pPr>
        <w:rPr>
          <w:szCs w:val="20"/>
        </w:rPr>
      </w:pPr>
      <w:r w:rsidRPr="00D56CA7">
        <w:rPr>
          <w:szCs w:val="20"/>
        </w:rPr>
        <w:t xml:space="preserve">In 2003 the Joint FAO/WHO Expert Committee on Food Additives (JECFA) established a tolerable intake of 1.6 µg/kg body weight per week for dietary exposure to methylmercury in order to protect the developing </w:t>
      </w:r>
      <w:r w:rsidR="001C665C">
        <w:rPr>
          <w:szCs w:val="20"/>
        </w:rPr>
        <w:t>foetus</w:t>
      </w:r>
      <w:r w:rsidRPr="00D56CA7">
        <w:rPr>
          <w:szCs w:val="20"/>
        </w:rPr>
        <w:t xml:space="preserve"> from neurotoxic effects. In 2006, JECFA clarified that life stages other than the embryo and </w:t>
      </w:r>
      <w:r w:rsidR="001C665C">
        <w:rPr>
          <w:szCs w:val="20"/>
        </w:rPr>
        <w:t>foetus</w:t>
      </w:r>
      <w:r w:rsidRPr="00D56CA7">
        <w:rPr>
          <w:szCs w:val="20"/>
        </w:rPr>
        <w:t xml:space="preserve"> may be less sensitive to the adverse effects of methylmercury. For adults, up to about twice the tolerable intake per week would not pose any risk of neurotoxicity. However, available data did not allow firm conclusions to be drawn for children (aged up to about 17 years), as they may be more sensitive than adults. Hence the tolerable intake established in 2003 applies also to children. </w:t>
      </w:r>
    </w:p>
    <w:p w14:paraId="5C42B370" w14:textId="77777777" w:rsidR="002335EE" w:rsidRDefault="002335EE" w:rsidP="002335EE">
      <w:pPr>
        <w:rPr>
          <w:szCs w:val="20"/>
        </w:rPr>
      </w:pPr>
      <w:r w:rsidRPr="00D56CA7">
        <w:rPr>
          <w:szCs w:val="20"/>
        </w:rPr>
        <w:t xml:space="preserve">In 2010 JECFA established a provisional tolerable weekly intake for inorganic mercury of 4 </w:t>
      </w:r>
      <w:proofErr w:type="spellStart"/>
      <w:r w:rsidRPr="00D56CA7">
        <w:rPr>
          <w:szCs w:val="20"/>
        </w:rPr>
        <w:t>μg</w:t>
      </w:r>
      <w:proofErr w:type="spellEnd"/>
      <w:r w:rsidRPr="00D56CA7">
        <w:rPr>
          <w:szCs w:val="20"/>
        </w:rPr>
        <w:t>/kg body weight, applicable to dietary exposure to total mercury from foods other than fish and shellfish</w:t>
      </w:r>
      <w:r>
        <w:rPr>
          <w:szCs w:val="20"/>
        </w:rPr>
        <w:t>.</w:t>
      </w:r>
    </w:p>
    <w:p w14:paraId="05EAAD5A" w14:textId="77777777" w:rsidR="002335EE" w:rsidRDefault="001C665C" w:rsidP="002335EE">
      <w:pPr>
        <w:rPr>
          <w:szCs w:val="20"/>
        </w:rPr>
      </w:pPr>
      <w:r>
        <w:rPr>
          <w:szCs w:val="20"/>
        </w:rPr>
        <w:t>Drinking w</w:t>
      </w:r>
      <w:r w:rsidR="002335EE" w:rsidRPr="00D56CA7">
        <w:rPr>
          <w:szCs w:val="20"/>
        </w:rPr>
        <w:t xml:space="preserve">ater: 6 µg/litre for inorganic mercury. </w:t>
      </w:r>
    </w:p>
    <w:p w14:paraId="17090B1F" w14:textId="77777777" w:rsidR="002335EE" w:rsidRDefault="002335EE" w:rsidP="002335EE">
      <w:pPr>
        <w:rPr>
          <w:szCs w:val="20"/>
        </w:rPr>
      </w:pPr>
      <w:r w:rsidRPr="00D56CA7">
        <w:rPr>
          <w:szCs w:val="20"/>
        </w:rPr>
        <w:t xml:space="preserve">Air: 1 µg/m3 (annual average). </w:t>
      </w:r>
    </w:p>
    <w:p w14:paraId="50FC6B4B" w14:textId="77777777" w:rsidR="002335EE" w:rsidRDefault="002335EE" w:rsidP="002335EE">
      <w:pPr>
        <w:rPr>
          <w:szCs w:val="20"/>
        </w:rPr>
      </w:pPr>
      <w:r w:rsidRPr="00D56CA7">
        <w:rPr>
          <w:szCs w:val="20"/>
        </w:rPr>
        <w:t xml:space="preserve">WHO estimated a tolerable concentration of 0.2 µg/m3 for long-term inhalation exposure to elemental mercury vapour, and a tolerable intake of total mercury of 2 µg/kg body weight per day (17). </w:t>
      </w:r>
    </w:p>
    <w:p w14:paraId="7EACFD93" w14:textId="77777777" w:rsidR="002335EE" w:rsidRPr="008C7423" w:rsidRDefault="002335EE" w:rsidP="00904B01">
      <w:pPr>
        <w:pStyle w:val="Heading3"/>
      </w:pPr>
      <w:r w:rsidRPr="008C7423">
        <w:t>SCOEL/</w:t>
      </w:r>
      <w:r w:rsidR="008A7E51">
        <w:t>SUM</w:t>
      </w:r>
      <w:r w:rsidRPr="008C7423">
        <w:t>/</w:t>
      </w:r>
      <w:r w:rsidR="008A7E51">
        <w:t>84</w:t>
      </w:r>
      <w:r w:rsidRPr="008C7423">
        <w:t xml:space="preserve"> (2007)</w:t>
      </w:r>
    </w:p>
    <w:p w14:paraId="4D88EEBB" w14:textId="77777777" w:rsidR="002335EE" w:rsidRPr="008C7423" w:rsidRDefault="002335EE" w:rsidP="002335EE">
      <w:pPr>
        <w:rPr>
          <w:szCs w:val="20"/>
        </w:rPr>
      </w:pPr>
      <w:r w:rsidRPr="008C7423">
        <w:rPr>
          <w:szCs w:val="20"/>
        </w:rPr>
        <w:t>Occupational exposure:</w:t>
      </w:r>
    </w:p>
    <w:p w14:paraId="193B5F5E" w14:textId="77777777" w:rsidR="002335EE" w:rsidRPr="008C7423" w:rsidRDefault="009E6CB7" w:rsidP="002335EE">
      <w:pPr>
        <w:rPr>
          <w:szCs w:val="20"/>
        </w:rPr>
      </w:pPr>
      <w:r w:rsidRPr="008C7423">
        <w:rPr>
          <w:szCs w:val="20"/>
        </w:rPr>
        <w:t>8-hour</w:t>
      </w:r>
      <w:r w:rsidR="002335EE" w:rsidRPr="008C7423">
        <w:rPr>
          <w:szCs w:val="20"/>
        </w:rPr>
        <w:t xml:space="preserve"> T</w:t>
      </w:r>
      <w:r w:rsidR="002335EE">
        <w:rPr>
          <w:szCs w:val="20"/>
        </w:rPr>
        <w:t xml:space="preserve">otal </w:t>
      </w:r>
      <w:r w:rsidR="002335EE" w:rsidRPr="008C7423">
        <w:rPr>
          <w:szCs w:val="20"/>
        </w:rPr>
        <w:t>W</w:t>
      </w:r>
      <w:r w:rsidR="002335EE">
        <w:rPr>
          <w:szCs w:val="20"/>
        </w:rPr>
        <w:t xml:space="preserve">eight </w:t>
      </w:r>
      <w:r w:rsidR="002335EE" w:rsidRPr="008C7423">
        <w:rPr>
          <w:szCs w:val="20"/>
        </w:rPr>
        <w:t>A</w:t>
      </w:r>
      <w:r w:rsidR="002335EE">
        <w:rPr>
          <w:szCs w:val="20"/>
        </w:rPr>
        <w:t>verage (TWA)</w:t>
      </w:r>
      <w:r w:rsidR="002335EE" w:rsidRPr="008C7423">
        <w:rPr>
          <w:szCs w:val="20"/>
        </w:rPr>
        <w:t>: 0.02 mg mercury/m</w:t>
      </w:r>
      <w:r w:rsidR="002335EE" w:rsidRPr="008C7423">
        <w:rPr>
          <w:szCs w:val="20"/>
          <w:vertAlign w:val="superscript"/>
        </w:rPr>
        <w:t>3</w:t>
      </w:r>
      <w:r w:rsidR="00D9781B">
        <w:rPr>
          <w:szCs w:val="20"/>
        </w:rPr>
        <w:t xml:space="preserve"> </w:t>
      </w:r>
    </w:p>
    <w:p w14:paraId="15C64E0D" w14:textId="77777777" w:rsidR="002335EE" w:rsidRPr="008C7423" w:rsidRDefault="002335EE" w:rsidP="002335EE">
      <w:pPr>
        <w:rPr>
          <w:szCs w:val="20"/>
        </w:rPr>
      </w:pPr>
      <w:r w:rsidRPr="008C7423">
        <w:rPr>
          <w:szCs w:val="20"/>
        </w:rPr>
        <w:t xml:space="preserve">Biological limit values (BLV): 10 µg Hg/l blood; 30 µg Hg/g creatinine in urine </w:t>
      </w:r>
    </w:p>
    <w:p w14:paraId="73AD0556" w14:textId="77777777" w:rsidR="00904B01" w:rsidRDefault="00904B01" w:rsidP="00803F46">
      <w:pPr>
        <w:pStyle w:val="Heading2"/>
      </w:pPr>
      <w:bookmarkStart w:id="15" w:name="_Toc154010818"/>
      <w:r>
        <w:lastRenderedPageBreak/>
        <w:t>4</w:t>
      </w:r>
      <w:r w:rsidRPr="00B1179D">
        <w:t>.</w:t>
      </w:r>
      <w:r>
        <w:t>3</w:t>
      </w:r>
      <w:r>
        <w:tab/>
      </w:r>
      <w:r w:rsidRPr="00904B01">
        <w:t>Packaging and labelling</w:t>
      </w:r>
      <w:bookmarkEnd w:id="15"/>
    </w:p>
    <w:tbl>
      <w:tblPr>
        <w:tblW w:w="97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2"/>
        <w:gridCol w:w="8021"/>
      </w:tblGrid>
      <w:tr w:rsidR="009E6CB7" w:rsidRPr="00B1179D" w14:paraId="1573AE95" w14:textId="77777777" w:rsidTr="009E6CB7">
        <w:trPr>
          <w:cantSplit/>
          <w:trHeight w:val="107"/>
        </w:trPr>
        <w:tc>
          <w:tcPr>
            <w:tcW w:w="9783" w:type="dxa"/>
            <w:gridSpan w:val="2"/>
          </w:tcPr>
          <w:p w14:paraId="4FB2B26C" w14:textId="77777777" w:rsidR="009E6CB7" w:rsidRPr="00904B01" w:rsidRDefault="009E6CB7" w:rsidP="00803F46">
            <w:pPr>
              <w:keepNext/>
              <w:spacing w:before="40" w:after="40"/>
              <w:rPr>
                <w:rFonts w:eastAsia="Times New Roman"/>
                <w:b/>
                <w:bCs/>
                <w:snapToGrid w:val="0"/>
                <w:szCs w:val="20"/>
                <w:lang w:val="en-US" w:eastAsia="en-US"/>
              </w:rPr>
            </w:pPr>
            <w:r w:rsidRPr="00904B01">
              <w:rPr>
                <w:rFonts w:eastAsia="Times New Roman"/>
                <w:b/>
                <w:bCs/>
                <w:szCs w:val="20"/>
                <w:lang w:eastAsia="en-US"/>
              </w:rPr>
              <w:t>The United Nations Committee of Experts on the Transportation of Dangerous Goods classifies the chemical in:</w:t>
            </w:r>
            <w:r w:rsidRPr="00904B01">
              <w:rPr>
                <w:rFonts w:eastAsia="Times New Roman"/>
                <w:b/>
                <w:bCs/>
                <w:snapToGrid w:val="0"/>
                <w:szCs w:val="20"/>
                <w:lang w:val="en-US" w:eastAsia="en-US"/>
              </w:rPr>
              <w:t xml:space="preserve"> </w:t>
            </w:r>
          </w:p>
        </w:tc>
      </w:tr>
      <w:tr w:rsidR="009E6CB7" w:rsidRPr="000519D7" w14:paraId="19A0EBD6" w14:textId="77777777" w:rsidTr="009E6CB7">
        <w:tblPrEx>
          <w:tblCellMar>
            <w:left w:w="107" w:type="dxa"/>
            <w:right w:w="107" w:type="dxa"/>
          </w:tblCellMar>
        </w:tblPrEx>
        <w:trPr>
          <w:cantSplit/>
          <w:trHeight w:val="926"/>
        </w:trPr>
        <w:tc>
          <w:tcPr>
            <w:tcW w:w="1762" w:type="dxa"/>
          </w:tcPr>
          <w:p w14:paraId="11FD3956" w14:textId="77777777" w:rsidR="009E6CB7" w:rsidRPr="00C84737" w:rsidRDefault="009E6CB7" w:rsidP="00803F46">
            <w:pPr>
              <w:keepNext/>
              <w:rPr>
                <w:b/>
                <w:bCs/>
                <w:snapToGrid w:val="0"/>
                <w:lang w:val="en-US" w:eastAsia="en-US"/>
              </w:rPr>
            </w:pPr>
            <w:r w:rsidRPr="00C84737">
              <w:rPr>
                <w:b/>
                <w:bCs/>
                <w:snapToGrid w:val="0"/>
                <w:lang w:val="en-US" w:eastAsia="en-US"/>
              </w:rPr>
              <w:t xml:space="preserve">Hazard Class and </w:t>
            </w:r>
            <w:r w:rsidRPr="00C84737">
              <w:rPr>
                <w:b/>
                <w:bCs/>
                <w:lang w:eastAsia="en-US"/>
              </w:rPr>
              <w:t>Packing Group:</w:t>
            </w:r>
          </w:p>
        </w:tc>
        <w:tc>
          <w:tcPr>
            <w:tcW w:w="8021" w:type="dxa"/>
          </w:tcPr>
          <w:p w14:paraId="3A8D5C5A" w14:textId="77777777" w:rsidR="009E6CB7" w:rsidRPr="000519D7" w:rsidRDefault="009E6CB7" w:rsidP="00803F46">
            <w:pPr>
              <w:keepNext/>
              <w:widowControl w:val="0"/>
              <w:spacing w:before="40" w:after="40"/>
              <w:rPr>
                <w:snapToGrid w:val="0"/>
                <w:lang w:val="en-CA"/>
              </w:rPr>
            </w:pPr>
            <w:r w:rsidRPr="000519D7">
              <w:rPr>
                <w:snapToGrid w:val="0"/>
                <w:lang w:val="en-CA"/>
              </w:rPr>
              <w:t>UN Hazard Class: 8</w:t>
            </w:r>
          </w:p>
          <w:p w14:paraId="5C1CC6CE" w14:textId="77777777" w:rsidR="009E6CB7" w:rsidRDefault="009E6CB7" w:rsidP="00803F46">
            <w:pPr>
              <w:keepNext/>
              <w:widowControl w:val="0"/>
              <w:spacing w:before="40" w:after="40"/>
              <w:rPr>
                <w:snapToGrid w:val="0"/>
                <w:lang w:val="en-CA"/>
              </w:rPr>
            </w:pPr>
            <w:r>
              <w:rPr>
                <w:snapToGrid w:val="0"/>
                <w:lang w:val="en-CA"/>
              </w:rPr>
              <w:t>UN subsidiary risk: 6.1</w:t>
            </w:r>
          </w:p>
          <w:p w14:paraId="5703AC12" w14:textId="77777777" w:rsidR="009E6CB7" w:rsidRDefault="009E6CB7" w:rsidP="00803F46">
            <w:pPr>
              <w:keepNext/>
              <w:widowControl w:val="0"/>
              <w:spacing w:before="40" w:after="40"/>
              <w:rPr>
                <w:snapToGrid w:val="0"/>
                <w:lang w:val="en-CA"/>
              </w:rPr>
            </w:pPr>
            <w:r>
              <w:rPr>
                <w:snapToGrid w:val="0"/>
                <w:lang w:val="en-CA"/>
              </w:rPr>
              <w:t>UN pack Group III</w:t>
            </w:r>
          </w:p>
          <w:p w14:paraId="42ED0335" w14:textId="77777777" w:rsidR="009E6CB7" w:rsidRPr="00BE6D8A" w:rsidRDefault="009E6CB7" w:rsidP="00803F46">
            <w:pPr>
              <w:keepNext/>
              <w:widowControl w:val="0"/>
              <w:spacing w:before="40" w:after="40"/>
            </w:pPr>
            <w:r w:rsidRPr="000519D7">
              <w:rPr>
                <w:snapToGrid w:val="0"/>
                <w:lang w:val="en-CA"/>
              </w:rPr>
              <w:t xml:space="preserve">Source: </w:t>
            </w:r>
            <w:hyperlink r:id="rId16" w:history="1">
              <w:r>
                <w:rPr>
                  <w:rStyle w:val="Hyperlink"/>
                </w:rPr>
                <w:t>ICSC 0056 - MERCURY (inchem.org)</w:t>
              </w:r>
            </w:hyperlink>
          </w:p>
        </w:tc>
      </w:tr>
      <w:tr w:rsidR="009E6CB7" w:rsidRPr="000519D7" w14:paraId="2D7D206E" w14:textId="77777777" w:rsidTr="009E6CB7">
        <w:tblPrEx>
          <w:tblCellMar>
            <w:left w:w="107" w:type="dxa"/>
            <w:right w:w="107" w:type="dxa"/>
          </w:tblCellMar>
        </w:tblPrEx>
        <w:trPr>
          <w:cantSplit/>
          <w:trHeight w:val="368"/>
        </w:trPr>
        <w:tc>
          <w:tcPr>
            <w:tcW w:w="1762" w:type="dxa"/>
          </w:tcPr>
          <w:p w14:paraId="4D843394" w14:textId="77777777" w:rsidR="009E6CB7" w:rsidRPr="00C84737" w:rsidRDefault="009E6CB7" w:rsidP="00803F46">
            <w:pPr>
              <w:keepNext/>
              <w:rPr>
                <w:b/>
                <w:bCs/>
                <w:snapToGrid w:val="0"/>
                <w:lang w:val="en-US" w:eastAsia="en-US"/>
              </w:rPr>
            </w:pPr>
            <w:r w:rsidRPr="00C84737">
              <w:rPr>
                <w:b/>
                <w:bCs/>
                <w:iCs/>
                <w:snapToGrid w:val="0"/>
              </w:rPr>
              <w:t>UN shipping names</w:t>
            </w:r>
          </w:p>
        </w:tc>
        <w:tc>
          <w:tcPr>
            <w:tcW w:w="8021" w:type="dxa"/>
          </w:tcPr>
          <w:p w14:paraId="63BB8F80" w14:textId="77777777" w:rsidR="009E6CB7" w:rsidRPr="009E6CB7" w:rsidRDefault="009E6CB7" w:rsidP="00803F46">
            <w:pPr>
              <w:keepNext/>
              <w:widowControl w:val="0"/>
              <w:spacing w:before="40" w:after="40"/>
              <w:ind w:left="34" w:hanging="34"/>
            </w:pPr>
            <w:bookmarkStart w:id="16" w:name="_Hlk124871897"/>
            <w:r w:rsidRPr="003C73D5">
              <w:rPr>
                <w:iCs/>
                <w:snapToGrid w:val="0"/>
              </w:rPr>
              <w:t>ADR/RID/IMDG</w:t>
            </w:r>
            <w:bookmarkEnd w:id="16"/>
            <w:r w:rsidRPr="003C73D5">
              <w:rPr>
                <w:iCs/>
                <w:snapToGrid w:val="0"/>
              </w:rPr>
              <w:t>:</w:t>
            </w:r>
            <w:r>
              <w:rPr>
                <w:iCs/>
                <w:snapToGrid w:val="0"/>
              </w:rPr>
              <w:t xml:space="preserve"> </w:t>
            </w:r>
            <w:r>
              <w:t>MERCURY</w:t>
            </w:r>
          </w:p>
        </w:tc>
      </w:tr>
      <w:tr w:rsidR="009E6CB7" w:rsidRPr="00B1179D" w14:paraId="0E968FF1" w14:textId="77777777" w:rsidTr="009E6CB7">
        <w:tblPrEx>
          <w:tblCellMar>
            <w:left w:w="107" w:type="dxa"/>
            <w:right w:w="107" w:type="dxa"/>
          </w:tblCellMar>
        </w:tblPrEx>
        <w:trPr>
          <w:cantSplit/>
          <w:trHeight w:val="3347"/>
        </w:trPr>
        <w:tc>
          <w:tcPr>
            <w:tcW w:w="1762" w:type="dxa"/>
          </w:tcPr>
          <w:p w14:paraId="3451EA43" w14:textId="77777777" w:rsidR="009E6CB7" w:rsidRPr="00C84737" w:rsidRDefault="009E6CB7" w:rsidP="00C84737">
            <w:pPr>
              <w:rPr>
                <w:b/>
                <w:bCs/>
                <w:lang w:eastAsia="en-US"/>
              </w:rPr>
            </w:pPr>
            <w:r w:rsidRPr="00C84737">
              <w:rPr>
                <w:b/>
                <w:bCs/>
                <w:lang w:eastAsia="en-US"/>
              </w:rPr>
              <w:t>International Maritime Dangerous Goods (IMDG) Code</w:t>
            </w:r>
          </w:p>
        </w:tc>
        <w:tc>
          <w:tcPr>
            <w:tcW w:w="8021" w:type="dxa"/>
          </w:tcPr>
          <w:p w14:paraId="4594DF10" w14:textId="77777777" w:rsidR="009E6CB7" w:rsidRPr="009E6CB7" w:rsidRDefault="009E6CB7" w:rsidP="000E6231">
            <w:pPr>
              <w:spacing w:before="40" w:after="40"/>
              <w:rPr>
                <w:rFonts w:eastAsia="Times New Roman"/>
                <w:color w:val="000000"/>
                <w:sz w:val="17"/>
                <w:szCs w:val="17"/>
                <w:lang w:val="en-CA" w:eastAsia="en-CA"/>
              </w:rPr>
            </w:pPr>
            <w:r w:rsidRPr="009E6CB7">
              <w:rPr>
                <w:rFonts w:eastAsia="Times New Roman"/>
                <w:b/>
                <w:bCs/>
                <w:color w:val="000000"/>
                <w:sz w:val="17"/>
                <w:szCs w:val="17"/>
                <w:lang w:val="en-CA" w:eastAsia="en-CA"/>
              </w:rPr>
              <w:t>According to UN GHS Criteria</w:t>
            </w:r>
          </w:p>
          <w:p w14:paraId="7B3E30AA" w14:textId="77777777" w:rsidR="009E6CB7" w:rsidRPr="00BE6D8A" w:rsidRDefault="009E6CB7" w:rsidP="000E6231">
            <w:pPr>
              <w:spacing w:before="40" w:after="40"/>
              <w:jc w:val="center"/>
              <w:rPr>
                <w:rFonts w:ascii="Arial" w:eastAsia="Times New Roman" w:hAnsi="Arial" w:cs="Arial"/>
                <w:color w:val="000000"/>
                <w:sz w:val="18"/>
                <w:szCs w:val="18"/>
                <w:lang w:val="en-CA" w:eastAsia="en-CA"/>
              </w:rPr>
            </w:pPr>
            <w:r w:rsidRPr="00BE6D8A">
              <w:rPr>
                <w:rFonts w:ascii="Arial" w:eastAsia="Times New Roman" w:hAnsi="Arial" w:cs="Arial"/>
                <w:color w:val="000000"/>
                <w:sz w:val="18"/>
                <w:szCs w:val="18"/>
                <w:lang w:val="en-CA" w:eastAsia="en-CA"/>
              </w:rPr>
              <w:fldChar w:fldCharType="begin"/>
            </w:r>
            <w:r w:rsidRPr="00BE6D8A">
              <w:rPr>
                <w:rFonts w:ascii="Arial" w:eastAsia="Times New Roman" w:hAnsi="Arial" w:cs="Arial"/>
                <w:color w:val="000000"/>
                <w:sz w:val="18"/>
                <w:szCs w:val="18"/>
                <w:lang w:val="en-CA" w:eastAsia="en-CA"/>
              </w:rPr>
              <w:instrText xml:space="preserve"> INCLUDEPICTURE "http://www.ilo.org/webcommon/dyn/images/icsc/ghs-pictograms/acid_red.gif" \* MERGEFORMATINET </w:instrText>
            </w:r>
            <w:r w:rsidRPr="00BE6D8A">
              <w:rPr>
                <w:rFonts w:ascii="Arial" w:eastAsia="Times New Roman" w:hAnsi="Arial" w:cs="Arial"/>
                <w:color w:val="000000"/>
                <w:sz w:val="18"/>
                <w:szCs w:val="18"/>
                <w:lang w:val="en-CA" w:eastAsia="en-CA"/>
              </w:rPr>
              <w:fldChar w:fldCharType="separate"/>
            </w:r>
            <w:r w:rsidR="00000000">
              <w:rPr>
                <w:rFonts w:ascii="Arial" w:eastAsia="Times New Roman" w:hAnsi="Arial" w:cs="Arial"/>
                <w:color w:val="000000"/>
                <w:sz w:val="18"/>
                <w:szCs w:val="18"/>
                <w:lang w:val="en-CA" w:eastAsia="en-CA"/>
              </w:rPr>
              <w:fldChar w:fldCharType="begin"/>
            </w:r>
            <w:r w:rsidR="00000000">
              <w:rPr>
                <w:rFonts w:ascii="Arial" w:eastAsia="Times New Roman" w:hAnsi="Arial" w:cs="Arial"/>
                <w:color w:val="000000"/>
                <w:sz w:val="18"/>
                <w:szCs w:val="18"/>
                <w:lang w:val="en-CA" w:eastAsia="en-CA"/>
              </w:rPr>
              <w:instrText xml:space="preserve"> INCLUDEPICTURE  "http://www.ilo.org/webcommon/dyn/images/icsc/ghs-pictograms/acid_red.gif" \* MERGEFORMATINET </w:instrText>
            </w:r>
            <w:r w:rsidR="00000000">
              <w:rPr>
                <w:rFonts w:ascii="Arial" w:eastAsia="Times New Roman" w:hAnsi="Arial" w:cs="Arial"/>
                <w:color w:val="000000"/>
                <w:sz w:val="18"/>
                <w:szCs w:val="18"/>
                <w:lang w:val="en-CA" w:eastAsia="en-CA"/>
              </w:rPr>
              <w:fldChar w:fldCharType="separate"/>
            </w:r>
            <w:r w:rsidR="00661ADF">
              <w:rPr>
                <w:rFonts w:ascii="Arial" w:eastAsia="Times New Roman" w:hAnsi="Arial" w:cs="Arial"/>
                <w:color w:val="000000"/>
                <w:sz w:val="18"/>
                <w:szCs w:val="18"/>
                <w:lang w:val="en-CA" w:eastAsia="en-CA"/>
              </w:rPr>
              <w:pict w14:anchorId="3EC120D6">
                <v:shape id="_x0000_i1027" type="#_x0000_t75" alt="corr" style="width:57.6pt;height:57.6pt">
                  <v:imagedata r:id="rId17" r:href="rId18"/>
                </v:shape>
              </w:pict>
            </w:r>
            <w:r w:rsidR="00000000">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begin"/>
            </w:r>
            <w:r w:rsidRPr="00BE6D8A">
              <w:rPr>
                <w:rFonts w:ascii="Arial" w:eastAsia="Times New Roman" w:hAnsi="Arial" w:cs="Arial"/>
                <w:color w:val="000000"/>
                <w:sz w:val="18"/>
                <w:szCs w:val="18"/>
                <w:lang w:val="en-CA" w:eastAsia="en-CA"/>
              </w:rPr>
              <w:instrText xml:space="preserve"> INCLUDEPICTURE "http://www.ilo.org/webcommon/dyn/images/icsc/ghs-pictograms/skull.gif" \* MERGEFORMATINET </w:instrText>
            </w:r>
            <w:r w:rsidRPr="00BE6D8A">
              <w:rPr>
                <w:rFonts w:ascii="Arial" w:eastAsia="Times New Roman" w:hAnsi="Arial" w:cs="Arial"/>
                <w:color w:val="000000"/>
                <w:sz w:val="18"/>
                <w:szCs w:val="18"/>
                <w:lang w:val="en-CA" w:eastAsia="en-CA"/>
              </w:rPr>
              <w:fldChar w:fldCharType="separate"/>
            </w:r>
            <w:r w:rsidR="00000000">
              <w:rPr>
                <w:rFonts w:ascii="Arial" w:eastAsia="Times New Roman" w:hAnsi="Arial" w:cs="Arial"/>
                <w:color w:val="000000"/>
                <w:sz w:val="18"/>
                <w:szCs w:val="18"/>
                <w:lang w:val="en-CA" w:eastAsia="en-CA"/>
              </w:rPr>
              <w:fldChar w:fldCharType="begin"/>
            </w:r>
            <w:r w:rsidR="00000000">
              <w:rPr>
                <w:rFonts w:ascii="Arial" w:eastAsia="Times New Roman" w:hAnsi="Arial" w:cs="Arial"/>
                <w:color w:val="000000"/>
                <w:sz w:val="18"/>
                <w:szCs w:val="18"/>
                <w:lang w:val="en-CA" w:eastAsia="en-CA"/>
              </w:rPr>
              <w:instrText xml:space="preserve"> INCLUDEPICTURE  "http://www.ilo.org/webcommon/dyn/images/icsc/ghs-pictograms/skull.gif" \* MERGEFORMATINET </w:instrText>
            </w:r>
            <w:r w:rsidR="00000000">
              <w:rPr>
                <w:rFonts w:ascii="Arial" w:eastAsia="Times New Roman" w:hAnsi="Arial" w:cs="Arial"/>
                <w:color w:val="000000"/>
                <w:sz w:val="18"/>
                <w:szCs w:val="18"/>
                <w:lang w:val="en-CA" w:eastAsia="en-CA"/>
              </w:rPr>
              <w:fldChar w:fldCharType="separate"/>
            </w:r>
            <w:r w:rsidR="00661ADF">
              <w:rPr>
                <w:rFonts w:ascii="Arial" w:eastAsia="Times New Roman" w:hAnsi="Arial" w:cs="Arial"/>
                <w:color w:val="000000"/>
                <w:sz w:val="18"/>
                <w:szCs w:val="18"/>
                <w:lang w:val="en-CA" w:eastAsia="en-CA"/>
              </w:rPr>
              <w:pict w14:anchorId="1215860A">
                <v:shape id="_x0000_i1028" type="#_x0000_t75" alt="skull;toxic" style="width:57.6pt;height:57.6pt">
                  <v:imagedata r:id="rId19" r:href="rId20"/>
                </v:shape>
              </w:pict>
            </w:r>
            <w:r w:rsidR="00000000">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begin"/>
            </w:r>
            <w:r w:rsidRPr="00BE6D8A">
              <w:rPr>
                <w:rFonts w:ascii="Arial" w:eastAsia="Times New Roman" w:hAnsi="Arial" w:cs="Arial"/>
                <w:color w:val="000000"/>
                <w:sz w:val="18"/>
                <w:szCs w:val="18"/>
                <w:lang w:val="en-CA" w:eastAsia="en-CA"/>
              </w:rPr>
              <w:instrText xml:space="preserve"> INCLUDEPICTURE "http://www.ilo.org/webcommon/dyn/images/icsc/ghs-pictograms/silhouete.gif" \* MERGEFORMATINET </w:instrText>
            </w:r>
            <w:r w:rsidRPr="00BE6D8A">
              <w:rPr>
                <w:rFonts w:ascii="Arial" w:eastAsia="Times New Roman" w:hAnsi="Arial" w:cs="Arial"/>
                <w:color w:val="000000"/>
                <w:sz w:val="18"/>
                <w:szCs w:val="18"/>
                <w:lang w:val="en-CA" w:eastAsia="en-CA"/>
              </w:rPr>
              <w:fldChar w:fldCharType="separate"/>
            </w:r>
            <w:r w:rsidR="00000000">
              <w:rPr>
                <w:rFonts w:ascii="Arial" w:eastAsia="Times New Roman" w:hAnsi="Arial" w:cs="Arial"/>
                <w:color w:val="000000"/>
                <w:sz w:val="18"/>
                <w:szCs w:val="18"/>
                <w:lang w:val="en-CA" w:eastAsia="en-CA"/>
              </w:rPr>
              <w:fldChar w:fldCharType="begin"/>
            </w:r>
            <w:r w:rsidR="00000000">
              <w:rPr>
                <w:rFonts w:ascii="Arial" w:eastAsia="Times New Roman" w:hAnsi="Arial" w:cs="Arial"/>
                <w:color w:val="000000"/>
                <w:sz w:val="18"/>
                <w:szCs w:val="18"/>
                <w:lang w:val="en-CA" w:eastAsia="en-CA"/>
              </w:rPr>
              <w:instrText xml:space="preserve"> INCLUDEPICTURE  "http://www.ilo.org/webcommon/dyn/images/icsc/ghs-pictograms/silhouete.gif" \* MERGEFORMATINET </w:instrText>
            </w:r>
            <w:r w:rsidR="00000000">
              <w:rPr>
                <w:rFonts w:ascii="Arial" w:eastAsia="Times New Roman" w:hAnsi="Arial" w:cs="Arial"/>
                <w:color w:val="000000"/>
                <w:sz w:val="18"/>
                <w:szCs w:val="18"/>
                <w:lang w:val="en-CA" w:eastAsia="en-CA"/>
              </w:rPr>
              <w:fldChar w:fldCharType="separate"/>
            </w:r>
            <w:r w:rsidR="00661ADF">
              <w:rPr>
                <w:rFonts w:ascii="Arial" w:eastAsia="Times New Roman" w:hAnsi="Arial" w:cs="Arial"/>
                <w:color w:val="000000"/>
                <w:sz w:val="18"/>
                <w:szCs w:val="18"/>
                <w:lang w:val="en-CA" w:eastAsia="en-CA"/>
              </w:rPr>
              <w:pict w14:anchorId="5EC3EE5F">
                <v:shape id="_x0000_i1029" type="#_x0000_t75" alt="cancer;health haz" style="width:57.6pt;height:57.6pt">
                  <v:imagedata r:id="rId21" r:href="rId22"/>
                </v:shape>
              </w:pict>
            </w:r>
            <w:r w:rsidR="00000000">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begin"/>
            </w:r>
            <w:r w:rsidRPr="00BE6D8A">
              <w:rPr>
                <w:rFonts w:ascii="Arial" w:eastAsia="Times New Roman" w:hAnsi="Arial" w:cs="Arial"/>
                <w:color w:val="000000"/>
                <w:sz w:val="18"/>
                <w:szCs w:val="18"/>
                <w:lang w:val="en-CA" w:eastAsia="en-CA"/>
              </w:rPr>
              <w:instrText xml:space="preserve"> INCLUDEPICTURE "http://www.ilo.org/webcommon/dyn/images/icsc/ghs-pictograms/aquatic-pollut-red.gif" \* MERGEFORMATINET </w:instrText>
            </w:r>
            <w:r w:rsidRPr="00BE6D8A">
              <w:rPr>
                <w:rFonts w:ascii="Arial" w:eastAsia="Times New Roman" w:hAnsi="Arial" w:cs="Arial"/>
                <w:color w:val="000000"/>
                <w:sz w:val="18"/>
                <w:szCs w:val="18"/>
                <w:lang w:val="en-CA" w:eastAsia="en-CA"/>
              </w:rPr>
              <w:fldChar w:fldCharType="separate"/>
            </w:r>
            <w:r w:rsidR="00000000">
              <w:rPr>
                <w:rFonts w:ascii="Arial" w:eastAsia="Times New Roman" w:hAnsi="Arial" w:cs="Arial"/>
                <w:color w:val="000000"/>
                <w:sz w:val="18"/>
                <w:szCs w:val="18"/>
                <w:lang w:val="en-CA" w:eastAsia="en-CA"/>
              </w:rPr>
              <w:fldChar w:fldCharType="begin"/>
            </w:r>
            <w:r w:rsidR="00000000">
              <w:rPr>
                <w:rFonts w:ascii="Arial" w:eastAsia="Times New Roman" w:hAnsi="Arial" w:cs="Arial"/>
                <w:color w:val="000000"/>
                <w:sz w:val="18"/>
                <w:szCs w:val="18"/>
                <w:lang w:val="en-CA" w:eastAsia="en-CA"/>
              </w:rPr>
              <w:instrText xml:space="preserve"> INCLUDEPICTURE  "http://www.ilo.org/webcommon/dyn/images/icsc/ghs-pictograms/aquatic-pollut-red.gif" \* MERGEFORMATINET </w:instrText>
            </w:r>
            <w:r w:rsidR="00000000">
              <w:rPr>
                <w:rFonts w:ascii="Arial" w:eastAsia="Times New Roman" w:hAnsi="Arial" w:cs="Arial"/>
                <w:color w:val="000000"/>
                <w:sz w:val="18"/>
                <w:szCs w:val="18"/>
                <w:lang w:val="en-CA" w:eastAsia="en-CA"/>
              </w:rPr>
              <w:fldChar w:fldCharType="separate"/>
            </w:r>
            <w:r w:rsidR="00661ADF">
              <w:rPr>
                <w:rFonts w:ascii="Arial" w:eastAsia="Times New Roman" w:hAnsi="Arial" w:cs="Arial"/>
                <w:color w:val="000000"/>
                <w:sz w:val="18"/>
                <w:szCs w:val="18"/>
                <w:lang w:val="en-CA" w:eastAsia="en-CA"/>
              </w:rPr>
              <w:pict w14:anchorId="1D9C89F5">
                <v:shape id="_x0000_i1030" type="#_x0000_t75" alt="enviro;aqua" style="width:57.6pt;height:57.6pt">
                  <v:imagedata r:id="rId23" r:href="rId24"/>
                </v:shape>
              </w:pict>
            </w:r>
            <w:r w:rsidR="00000000">
              <w:rPr>
                <w:rFonts w:ascii="Arial" w:eastAsia="Times New Roman" w:hAnsi="Arial" w:cs="Arial"/>
                <w:color w:val="000000"/>
                <w:sz w:val="18"/>
                <w:szCs w:val="18"/>
                <w:lang w:val="en-CA" w:eastAsia="en-CA"/>
              </w:rPr>
              <w:fldChar w:fldCharType="end"/>
            </w:r>
            <w:r w:rsidRPr="00BE6D8A">
              <w:rPr>
                <w:rFonts w:ascii="Arial" w:eastAsia="Times New Roman" w:hAnsi="Arial" w:cs="Arial"/>
                <w:color w:val="000000"/>
                <w:sz w:val="18"/>
                <w:szCs w:val="18"/>
                <w:lang w:val="en-CA" w:eastAsia="en-CA"/>
              </w:rPr>
              <w:fldChar w:fldCharType="end"/>
            </w:r>
          </w:p>
          <w:p w14:paraId="1BDDF161" w14:textId="77777777" w:rsidR="009E6CB7" w:rsidRPr="00BE6D8A" w:rsidRDefault="009E6CB7" w:rsidP="000E6231">
            <w:pPr>
              <w:spacing w:before="40" w:after="40"/>
              <w:jc w:val="center"/>
              <w:rPr>
                <w:rFonts w:ascii="Arial" w:eastAsia="Times New Roman" w:hAnsi="Arial" w:cs="Arial"/>
                <w:color w:val="000000"/>
                <w:sz w:val="18"/>
                <w:szCs w:val="18"/>
                <w:lang w:val="en-CA" w:eastAsia="en-CA"/>
              </w:rPr>
            </w:pPr>
            <w:r w:rsidRPr="00BE6D8A">
              <w:rPr>
                <w:rFonts w:ascii="Arial" w:eastAsia="Times New Roman" w:hAnsi="Arial" w:cs="Arial"/>
                <w:b/>
                <w:bCs/>
                <w:color w:val="000000"/>
                <w:sz w:val="18"/>
                <w:szCs w:val="18"/>
                <w:lang w:val="en-CA" w:eastAsia="en-CA"/>
              </w:rPr>
              <w:t>DANGER</w:t>
            </w:r>
          </w:p>
          <w:p w14:paraId="2C81E763" w14:textId="77777777" w:rsidR="009E6CB7" w:rsidRPr="009E6CB7" w:rsidRDefault="009E6CB7" w:rsidP="000E6231">
            <w:pPr>
              <w:spacing w:before="40" w:after="40"/>
              <w:rPr>
                <w:rFonts w:eastAsia="Times New Roman"/>
                <w:lang w:val="en-CA" w:eastAsia="en-CA"/>
              </w:rPr>
            </w:pPr>
            <w:r w:rsidRPr="009E6CB7">
              <w:rPr>
                <w:rFonts w:eastAsia="Times New Roman"/>
                <w:color w:val="000000"/>
                <w:sz w:val="18"/>
                <w:szCs w:val="18"/>
                <w:lang w:val="en-CA" w:eastAsia="en-CA"/>
              </w:rPr>
              <w:t>May be corrosive to metals</w:t>
            </w:r>
            <w:r w:rsidRPr="009E6CB7">
              <w:rPr>
                <w:rFonts w:eastAsia="Times New Roman"/>
                <w:color w:val="000000"/>
                <w:sz w:val="18"/>
                <w:szCs w:val="18"/>
                <w:lang w:val="en-CA" w:eastAsia="en-CA"/>
              </w:rPr>
              <w:br/>
              <w:t>Fatal if inhaled</w:t>
            </w:r>
            <w:r w:rsidRPr="009E6CB7">
              <w:rPr>
                <w:rFonts w:eastAsia="Times New Roman"/>
                <w:color w:val="000000"/>
                <w:sz w:val="18"/>
                <w:szCs w:val="18"/>
                <w:lang w:val="en-CA" w:eastAsia="en-CA"/>
              </w:rPr>
              <w:br/>
              <w:t>May damage fertility or the unborn child</w:t>
            </w:r>
            <w:r w:rsidRPr="009E6CB7">
              <w:rPr>
                <w:rFonts w:eastAsia="Times New Roman"/>
                <w:color w:val="000000"/>
                <w:sz w:val="18"/>
                <w:szCs w:val="18"/>
                <w:lang w:val="en-CA" w:eastAsia="en-CA"/>
              </w:rPr>
              <w:br/>
              <w:t>Causes damage to central nervous system and kidneys</w:t>
            </w:r>
            <w:r w:rsidRPr="009E6CB7">
              <w:rPr>
                <w:rFonts w:eastAsia="Times New Roman"/>
                <w:color w:val="000000"/>
                <w:sz w:val="18"/>
                <w:szCs w:val="18"/>
                <w:lang w:val="en-CA" w:eastAsia="en-CA"/>
              </w:rPr>
              <w:br/>
              <w:t>Causes damage to the central nervous system and the kidneys through prolonged or repeated exposure</w:t>
            </w:r>
            <w:r w:rsidRPr="009E6CB7">
              <w:rPr>
                <w:rFonts w:eastAsia="Times New Roman"/>
                <w:color w:val="000000"/>
                <w:sz w:val="18"/>
                <w:szCs w:val="18"/>
                <w:lang w:val="en-CA" w:eastAsia="en-CA"/>
              </w:rPr>
              <w:br/>
              <w:t>Very toxic to aquatic life with long lasting effects </w:t>
            </w:r>
          </w:p>
        </w:tc>
      </w:tr>
      <w:tr w:rsidR="009E6CB7" w:rsidRPr="00B1179D" w14:paraId="7137965F" w14:textId="77777777" w:rsidTr="009E6CB7">
        <w:tblPrEx>
          <w:tblCellMar>
            <w:left w:w="107" w:type="dxa"/>
            <w:right w:w="107" w:type="dxa"/>
          </w:tblCellMar>
        </w:tblPrEx>
        <w:trPr>
          <w:cantSplit/>
          <w:trHeight w:val="692"/>
        </w:trPr>
        <w:tc>
          <w:tcPr>
            <w:tcW w:w="1762" w:type="dxa"/>
          </w:tcPr>
          <w:p w14:paraId="411CD543" w14:textId="77777777" w:rsidR="009E6CB7" w:rsidRPr="00C84737" w:rsidRDefault="009E6CB7" w:rsidP="00C84737">
            <w:pPr>
              <w:rPr>
                <w:b/>
                <w:bCs/>
                <w:lang w:eastAsia="en-US"/>
              </w:rPr>
            </w:pPr>
            <w:r w:rsidRPr="00C84737">
              <w:rPr>
                <w:b/>
                <w:bCs/>
                <w:lang w:eastAsia="en-US"/>
              </w:rPr>
              <w:t>Transport Emergency Card</w:t>
            </w:r>
          </w:p>
        </w:tc>
        <w:tc>
          <w:tcPr>
            <w:tcW w:w="8021" w:type="dxa"/>
          </w:tcPr>
          <w:p w14:paraId="0A2E3479" w14:textId="77777777" w:rsidR="009E6CB7" w:rsidRPr="00C93876" w:rsidRDefault="00000000" w:rsidP="000E6231">
            <w:pPr>
              <w:spacing w:before="40" w:after="40"/>
              <w:rPr>
                <w:rFonts w:eastAsia="Times New Roman"/>
                <w:b/>
                <w:bCs/>
                <w:i/>
                <w:iCs/>
                <w:szCs w:val="20"/>
                <w:lang w:eastAsia="en-US"/>
              </w:rPr>
            </w:pPr>
            <w:hyperlink r:id="rId25" w:history="1">
              <w:r w:rsidR="009E6CB7" w:rsidRPr="00C93876">
                <w:rPr>
                  <w:rStyle w:val="Hyperlink"/>
                  <w:szCs w:val="20"/>
                </w:rPr>
                <w:t>ICSC 0056 - MERCURY (inchem.org)</w:t>
              </w:r>
            </w:hyperlink>
          </w:p>
          <w:p w14:paraId="299FC439" w14:textId="77777777" w:rsidR="009E6CB7" w:rsidRPr="00B1179D" w:rsidRDefault="009E6CB7" w:rsidP="000E6231">
            <w:pPr>
              <w:widowControl w:val="0"/>
              <w:spacing w:before="40" w:after="40"/>
              <w:ind w:left="34" w:hanging="34"/>
              <w:rPr>
                <w:rFonts w:eastAsia="Times New Roman"/>
                <w:snapToGrid w:val="0"/>
                <w:szCs w:val="20"/>
                <w:lang w:val="en-US" w:eastAsia="en-US"/>
              </w:rPr>
            </w:pPr>
          </w:p>
        </w:tc>
      </w:tr>
    </w:tbl>
    <w:p w14:paraId="7C90A847" w14:textId="77777777" w:rsidR="00904B01" w:rsidRDefault="00904B01" w:rsidP="00904B01">
      <w:pPr>
        <w:pStyle w:val="Heading2"/>
      </w:pPr>
      <w:bookmarkStart w:id="17" w:name="_Toc154010819"/>
      <w:r>
        <w:t>4</w:t>
      </w:r>
      <w:r w:rsidRPr="00B1179D">
        <w:t>.</w:t>
      </w:r>
      <w:r w:rsidR="009E6CB7">
        <w:t>4</w:t>
      </w:r>
      <w:r>
        <w:tab/>
      </w:r>
      <w:r w:rsidR="009E6CB7" w:rsidRPr="009E6CB7">
        <w:t>First aid</w:t>
      </w:r>
      <w:bookmarkEnd w:id="17"/>
    </w:p>
    <w:p w14:paraId="5494B00A" w14:textId="77777777" w:rsidR="009E6CB7" w:rsidRPr="009E6CB7" w:rsidRDefault="009E6CB7" w:rsidP="009E6CB7">
      <w:pPr>
        <w:rPr>
          <w:rFonts w:eastAsia="Times New Roman"/>
          <w:szCs w:val="20"/>
          <w:lang w:eastAsia="en-US"/>
        </w:rPr>
      </w:pPr>
      <w:r w:rsidRPr="009E6CB7">
        <w:rPr>
          <w:rFonts w:eastAsia="Times New Roman"/>
          <w:szCs w:val="20"/>
          <w:lang w:eastAsia="en-US"/>
        </w:rPr>
        <w:t>NOTE: The following advice is based on information available from the World Health Organisation and the notifying countries and was correct at the time of publication. This advice is provided for information only and is not intended to supersede any national first aid protocols.</w:t>
      </w:r>
    </w:p>
    <w:p w14:paraId="67326066" w14:textId="77777777" w:rsidR="009E6CB7" w:rsidRPr="00C93876" w:rsidRDefault="009E6CB7" w:rsidP="009E6CB7">
      <w:pPr>
        <w:rPr>
          <w:rFonts w:eastAsia="Times New Roman"/>
          <w:b/>
          <w:bCs/>
          <w:i/>
          <w:iCs/>
          <w:szCs w:val="20"/>
          <w:lang w:eastAsia="en-US"/>
        </w:rPr>
      </w:pPr>
      <w:r w:rsidRPr="00C93876">
        <w:rPr>
          <w:szCs w:val="20"/>
        </w:rPr>
        <w:t xml:space="preserve">International Chemical Safety Cards (ICSCs): </w:t>
      </w:r>
      <w:hyperlink r:id="rId26" w:history="1">
        <w:r w:rsidRPr="00C93876">
          <w:rPr>
            <w:rStyle w:val="Hyperlink"/>
            <w:szCs w:val="20"/>
          </w:rPr>
          <w:t>ICSC 0056 - MERCURY (inchem.org)</w:t>
        </w:r>
      </w:hyperlink>
    </w:p>
    <w:p w14:paraId="12A9110F" w14:textId="77777777" w:rsidR="009E6CB7" w:rsidRDefault="009E6CB7" w:rsidP="009E6CB7">
      <w:pPr>
        <w:pStyle w:val="Normal-pool"/>
        <w:spacing w:after="120"/>
        <w:rPr>
          <w:b/>
          <w:bCs/>
          <w:lang w:val="en-GB"/>
        </w:rPr>
      </w:pPr>
      <w:r w:rsidRPr="003C73D5">
        <w:rPr>
          <w:b/>
          <w:bCs/>
          <w:lang w:val="en-GB"/>
        </w:rPr>
        <w:t>Description of first aid measures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2970"/>
        <w:gridCol w:w="2520"/>
        <w:gridCol w:w="2825"/>
      </w:tblGrid>
      <w:tr w:rsidR="000E6231" w:rsidRPr="00CF73C7" w14:paraId="4F821102" w14:textId="77777777" w:rsidTr="00CF73C7">
        <w:tc>
          <w:tcPr>
            <w:tcW w:w="9503" w:type="dxa"/>
            <w:gridSpan w:val="4"/>
            <w:shd w:val="clear" w:color="auto" w:fill="auto"/>
            <w:vAlign w:val="center"/>
          </w:tcPr>
          <w:p w14:paraId="7B00246B" w14:textId="77777777" w:rsidR="000E6231" w:rsidRPr="00CF73C7" w:rsidRDefault="000E6231" w:rsidP="00CF73C7">
            <w:pPr>
              <w:pStyle w:val="Normal-pool"/>
              <w:spacing w:before="40" w:after="40"/>
              <w:jc w:val="center"/>
              <w:rPr>
                <w:b/>
                <w:bCs/>
                <w:lang w:val="en-GB"/>
              </w:rPr>
            </w:pPr>
            <w:r w:rsidRPr="00CF73C7">
              <w:rPr>
                <w:b/>
                <w:bCs/>
                <w:color w:val="000000"/>
                <w:lang w:val="en-CA" w:eastAsia="en-CA"/>
              </w:rPr>
              <w:t>AVOID ALL CONTACT! IN ALL CASES CONSULT A DOCTOR!</w:t>
            </w:r>
          </w:p>
        </w:tc>
      </w:tr>
      <w:tr w:rsidR="001F2F95" w:rsidRPr="00CF73C7" w14:paraId="21066E66" w14:textId="77777777" w:rsidTr="00CF73C7">
        <w:trPr>
          <w:trHeight w:val="116"/>
        </w:trPr>
        <w:tc>
          <w:tcPr>
            <w:tcW w:w="1188" w:type="dxa"/>
            <w:shd w:val="clear" w:color="auto" w:fill="auto"/>
            <w:vAlign w:val="center"/>
          </w:tcPr>
          <w:p w14:paraId="4BD3688C" w14:textId="77777777" w:rsidR="000E6231" w:rsidRPr="00CF73C7" w:rsidRDefault="000E6231" w:rsidP="00CF73C7">
            <w:pPr>
              <w:pStyle w:val="Normal-pool"/>
              <w:spacing w:before="40" w:after="40"/>
              <w:jc w:val="center"/>
              <w:rPr>
                <w:b/>
                <w:bCs/>
                <w:lang w:val="en-GB"/>
              </w:rPr>
            </w:pPr>
          </w:p>
        </w:tc>
        <w:tc>
          <w:tcPr>
            <w:tcW w:w="2970" w:type="dxa"/>
            <w:shd w:val="clear" w:color="auto" w:fill="auto"/>
            <w:vAlign w:val="center"/>
          </w:tcPr>
          <w:p w14:paraId="085E8F24" w14:textId="77777777" w:rsidR="000E6231" w:rsidRPr="00CF73C7" w:rsidRDefault="000E6231" w:rsidP="00CF73C7">
            <w:pPr>
              <w:pStyle w:val="Normal-pool"/>
              <w:spacing w:before="40" w:after="40"/>
              <w:jc w:val="center"/>
              <w:rPr>
                <w:b/>
                <w:bCs/>
                <w:lang w:val="en-GB"/>
              </w:rPr>
            </w:pPr>
            <w:r w:rsidRPr="00CF73C7">
              <w:rPr>
                <w:b/>
                <w:bCs/>
                <w:color w:val="000000"/>
                <w:lang w:val="en-CA" w:eastAsia="en-CA"/>
              </w:rPr>
              <w:t>SYMPTOMS</w:t>
            </w:r>
          </w:p>
        </w:tc>
        <w:tc>
          <w:tcPr>
            <w:tcW w:w="2520" w:type="dxa"/>
            <w:shd w:val="clear" w:color="auto" w:fill="auto"/>
            <w:vAlign w:val="center"/>
          </w:tcPr>
          <w:p w14:paraId="2EA6081C" w14:textId="77777777" w:rsidR="000E6231" w:rsidRPr="00CF73C7" w:rsidRDefault="000E6231" w:rsidP="00CF73C7">
            <w:pPr>
              <w:pStyle w:val="Normal-pool"/>
              <w:spacing w:before="40" w:after="40"/>
              <w:jc w:val="center"/>
              <w:rPr>
                <w:b/>
                <w:bCs/>
                <w:lang w:val="en-GB"/>
              </w:rPr>
            </w:pPr>
            <w:r w:rsidRPr="00CF73C7">
              <w:rPr>
                <w:b/>
                <w:bCs/>
                <w:color w:val="000000"/>
                <w:lang w:val="en-CA" w:eastAsia="en-CA"/>
              </w:rPr>
              <w:t>PREVENTION</w:t>
            </w:r>
          </w:p>
        </w:tc>
        <w:tc>
          <w:tcPr>
            <w:tcW w:w="2825" w:type="dxa"/>
            <w:shd w:val="clear" w:color="auto" w:fill="auto"/>
            <w:vAlign w:val="center"/>
          </w:tcPr>
          <w:p w14:paraId="3291DE35" w14:textId="77777777" w:rsidR="000E6231" w:rsidRPr="00CF73C7" w:rsidRDefault="000E6231" w:rsidP="00CF73C7">
            <w:pPr>
              <w:pStyle w:val="Normal-pool"/>
              <w:spacing w:before="40" w:after="40"/>
              <w:jc w:val="center"/>
              <w:rPr>
                <w:b/>
                <w:bCs/>
                <w:lang w:val="en-GB"/>
              </w:rPr>
            </w:pPr>
            <w:r w:rsidRPr="00CF73C7">
              <w:rPr>
                <w:b/>
                <w:bCs/>
                <w:color w:val="000000"/>
                <w:lang w:val="en-CA" w:eastAsia="en-CA"/>
              </w:rPr>
              <w:t>FIRST AID</w:t>
            </w:r>
          </w:p>
        </w:tc>
      </w:tr>
      <w:tr w:rsidR="001F2F95" w:rsidRPr="00CF73C7" w14:paraId="734EDF97" w14:textId="77777777" w:rsidTr="00CF73C7">
        <w:tc>
          <w:tcPr>
            <w:tcW w:w="1188" w:type="dxa"/>
            <w:shd w:val="clear" w:color="auto" w:fill="auto"/>
            <w:vAlign w:val="center"/>
          </w:tcPr>
          <w:p w14:paraId="0EC5FC0D" w14:textId="77777777" w:rsidR="000E6231" w:rsidRPr="00CF73C7" w:rsidRDefault="000E6231" w:rsidP="00CF73C7">
            <w:pPr>
              <w:pStyle w:val="Normal-pool"/>
              <w:spacing w:before="40" w:after="40"/>
              <w:rPr>
                <w:b/>
                <w:bCs/>
                <w:lang w:val="en-GB"/>
              </w:rPr>
            </w:pPr>
            <w:r w:rsidRPr="00CF73C7">
              <w:rPr>
                <w:b/>
                <w:bCs/>
                <w:color w:val="000000"/>
                <w:sz w:val="21"/>
                <w:szCs w:val="21"/>
                <w:lang w:val="en-CA" w:eastAsia="en-CA"/>
              </w:rPr>
              <w:t>Inhalation</w:t>
            </w:r>
          </w:p>
        </w:tc>
        <w:tc>
          <w:tcPr>
            <w:tcW w:w="2970" w:type="dxa"/>
            <w:shd w:val="clear" w:color="auto" w:fill="auto"/>
            <w:vAlign w:val="center"/>
          </w:tcPr>
          <w:p w14:paraId="5C632CA7"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Cough. Sore throat. Shortness of breath. Fever. Vomiting. Diarrhoea. Abdominal pain. Headache. Weakness.</w:t>
            </w:r>
          </w:p>
        </w:tc>
        <w:tc>
          <w:tcPr>
            <w:tcW w:w="2520" w:type="dxa"/>
            <w:shd w:val="clear" w:color="auto" w:fill="auto"/>
            <w:vAlign w:val="center"/>
          </w:tcPr>
          <w:p w14:paraId="63B4E9C4"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Use local exhaust or breathing protection.</w:t>
            </w:r>
          </w:p>
        </w:tc>
        <w:tc>
          <w:tcPr>
            <w:tcW w:w="2825" w:type="dxa"/>
            <w:shd w:val="clear" w:color="auto" w:fill="auto"/>
            <w:vAlign w:val="center"/>
          </w:tcPr>
          <w:p w14:paraId="2E790202"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Fresh air, rest. Artificial respiration may be needed. Refer immediately for medical attention.</w:t>
            </w:r>
          </w:p>
        </w:tc>
      </w:tr>
      <w:tr w:rsidR="001F2F95" w:rsidRPr="00CF73C7" w14:paraId="53F541BC" w14:textId="77777777" w:rsidTr="00CF73C7">
        <w:tc>
          <w:tcPr>
            <w:tcW w:w="1188" w:type="dxa"/>
            <w:shd w:val="clear" w:color="auto" w:fill="auto"/>
            <w:vAlign w:val="center"/>
          </w:tcPr>
          <w:p w14:paraId="33E48E08" w14:textId="77777777" w:rsidR="000E6231" w:rsidRPr="00CF73C7" w:rsidRDefault="000E6231" w:rsidP="00CF73C7">
            <w:pPr>
              <w:pStyle w:val="Normal-pool"/>
              <w:spacing w:before="40" w:after="40"/>
              <w:rPr>
                <w:b/>
                <w:bCs/>
                <w:lang w:val="en-GB"/>
              </w:rPr>
            </w:pPr>
            <w:r w:rsidRPr="00CF73C7">
              <w:rPr>
                <w:b/>
                <w:bCs/>
                <w:color w:val="000000"/>
                <w:sz w:val="21"/>
                <w:szCs w:val="21"/>
                <w:lang w:val="en-CA" w:eastAsia="en-CA"/>
              </w:rPr>
              <w:t>Skin</w:t>
            </w:r>
          </w:p>
        </w:tc>
        <w:tc>
          <w:tcPr>
            <w:tcW w:w="2970" w:type="dxa"/>
            <w:shd w:val="clear" w:color="auto" w:fill="auto"/>
            <w:vAlign w:val="center"/>
          </w:tcPr>
          <w:p w14:paraId="62298B37"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MAY BE ABSORBED! Redness.</w:t>
            </w:r>
          </w:p>
        </w:tc>
        <w:tc>
          <w:tcPr>
            <w:tcW w:w="2520" w:type="dxa"/>
            <w:shd w:val="clear" w:color="auto" w:fill="auto"/>
            <w:vAlign w:val="center"/>
          </w:tcPr>
          <w:p w14:paraId="6ECEB3AA"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Protective gloves. Protective clothing.</w:t>
            </w:r>
          </w:p>
        </w:tc>
        <w:tc>
          <w:tcPr>
            <w:tcW w:w="2825" w:type="dxa"/>
            <w:shd w:val="clear" w:color="auto" w:fill="auto"/>
            <w:vAlign w:val="center"/>
          </w:tcPr>
          <w:p w14:paraId="0ACF762D"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Remove contaminated clothes. See Notes. Rinse and then wash skin with water and soap. Refer for medical attention.</w:t>
            </w:r>
          </w:p>
        </w:tc>
      </w:tr>
      <w:tr w:rsidR="001F2F95" w:rsidRPr="00CF73C7" w14:paraId="6AD9253A" w14:textId="77777777" w:rsidTr="00CF73C7">
        <w:tc>
          <w:tcPr>
            <w:tcW w:w="1188" w:type="dxa"/>
            <w:shd w:val="clear" w:color="auto" w:fill="auto"/>
            <w:vAlign w:val="center"/>
          </w:tcPr>
          <w:p w14:paraId="02E7BBA4" w14:textId="77777777" w:rsidR="000E6231" w:rsidRPr="00CF73C7" w:rsidRDefault="000E6231" w:rsidP="00CF73C7">
            <w:pPr>
              <w:pStyle w:val="Normal-pool"/>
              <w:spacing w:before="40" w:after="40"/>
              <w:rPr>
                <w:b/>
                <w:bCs/>
                <w:lang w:val="en-GB"/>
              </w:rPr>
            </w:pPr>
            <w:r w:rsidRPr="00CF73C7">
              <w:rPr>
                <w:b/>
                <w:bCs/>
                <w:color w:val="000000"/>
                <w:sz w:val="21"/>
                <w:szCs w:val="21"/>
                <w:lang w:val="en-CA" w:eastAsia="en-CA"/>
              </w:rPr>
              <w:t>Eyes</w:t>
            </w:r>
          </w:p>
        </w:tc>
        <w:tc>
          <w:tcPr>
            <w:tcW w:w="2970" w:type="dxa"/>
            <w:shd w:val="clear" w:color="auto" w:fill="auto"/>
            <w:vAlign w:val="center"/>
          </w:tcPr>
          <w:p w14:paraId="0F163D1A" w14:textId="77777777" w:rsidR="000E6231" w:rsidRPr="00CF73C7" w:rsidRDefault="000E6231" w:rsidP="00CF73C7">
            <w:pPr>
              <w:pStyle w:val="Normal-pool"/>
              <w:spacing w:before="40" w:after="40"/>
              <w:rPr>
                <w:b/>
                <w:bCs/>
                <w:lang w:val="en-GB"/>
              </w:rPr>
            </w:pPr>
          </w:p>
        </w:tc>
        <w:tc>
          <w:tcPr>
            <w:tcW w:w="2520" w:type="dxa"/>
            <w:shd w:val="clear" w:color="auto" w:fill="auto"/>
            <w:vAlign w:val="center"/>
          </w:tcPr>
          <w:p w14:paraId="6332BC9A"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Wear face shield or eye protection in combination with breathing protection.</w:t>
            </w:r>
          </w:p>
        </w:tc>
        <w:tc>
          <w:tcPr>
            <w:tcW w:w="2825" w:type="dxa"/>
            <w:shd w:val="clear" w:color="auto" w:fill="auto"/>
            <w:vAlign w:val="center"/>
          </w:tcPr>
          <w:p w14:paraId="2C7A4C98"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First rinse with plenty of water for several minutes (remove contact lenses if easily possible), then refer for medical attention.</w:t>
            </w:r>
          </w:p>
        </w:tc>
      </w:tr>
      <w:tr w:rsidR="001F2F95" w:rsidRPr="00CF73C7" w14:paraId="31812363" w14:textId="77777777" w:rsidTr="00CF73C7">
        <w:tc>
          <w:tcPr>
            <w:tcW w:w="1188" w:type="dxa"/>
            <w:shd w:val="clear" w:color="auto" w:fill="auto"/>
            <w:vAlign w:val="center"/>
          </w:tcPr>
          <w:p w14:paraId="27762340" w14:textId="77777777" w:rsidR="000E6231" w:rsidRPr="00CF73C7" w:rsidRDefault="000E6231" w:rsidP="00CF73C7">
            <w:pPr>
              <w:pStyle w:val="Normal-pool"/>
              <w:spacing w:before="40" w:after="40"/>
              <w:rPr>
                <w:b/>
                <w:bCs/>
                <w:lang w:val="en-GB"/>
              </w:rPr>
            </w:pPr>
            <w:r w:rsidRPr="00CF73C7">
              <w:rPr>
                <w:b/>
                <w:bCs/>
                <w:color w:val="000000"/>
                <w:sz w:val="21"/>
                <w:szCs w:val="21"/>
                <w:lang w:val="en-CA" w:eastAsia="en-CA"/>
              </w:rPr>
              <w:t>Ingestion</w:t>
            </w:r>
          </w:p>
        </w:tc>
        <w:tc>
          <w:tcPr>
            <w:tcW w:w="2970" w:type="dxa"/>
            <w:shd w:val="clear" w:color="auto" w:fill="auto"/>
            <w:vAlign w:val="center"/>
          </w:tcPr>
          <w:p w14:paraId="7A33076B" w14:textId="77777777" w:rsidR="000E6231" w:rsidRPr="00CF73C7" w:rsidRDefault="000E6231" w:rsidP="00CF73C7">
            <w:pPr>
              <w:pStyle w:val="Normal-pool"/>
              <w:spacing w:before="40" w:after="40"/>
              <w:rPr>
                <w:b/>
                <w:bCs/>
                <w:lang w:val="en-GB"/>
              </w:rPr>
            </w:pPr>
          </w:p>
        </w:tc>
        <w:tc>
          <w:tcPr>
            <w:tcW w:w="2520" w:type="dxa"/>
            <w:shd w:val="clear" w:color="auto" w:fill="auto"/>
            <w:vAlign w:val="center"/>
          </w:tcPr>
          <w:p w14:paraId="12B0846B"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Do not eat, drink, or smoke during work. Wash hands before eating.</w:t>
            </w:r>
          </w:p>
        </w:tc>
        <w:tc>
          <w:tcPr>
            <w:tcW w:w="2825" w:type="dxa"/>
            <w:shd w:val="clear" w:color="auto" w:fill="auto"/>
            <w:vAlign w:val="center"/>
          </w:tcPr>
          <w:p w14:paraId="18D4A9C2" w14:textId="77777777" w:rsidR="000E6231" w:rsidRPr="00CF73C7" w:rsidRDefault="000E6231" w:rsidP="00CF73C7">
            <w:pPr>
              <w:pStyle w:val="Normal-pool"/>
              <w:spacing w:before="40" w:after="40"/>
              <w:rPr>
                <w:b/>
                <w:bCs/>
                <w:lang w:val="en-GB"/>
              </w:rPr>
            </w:pPr>
            <w:r w:rsidRPr="00CF73C7">
              <w:rPr>
                <w:color w:val="000000"/>
                <w:sz w:val="18"/>
                <w:szCs w:val="18"/>
                <w:lang w:val="en-CA" w:eastAsia="en-CA"/>
              </w:rPr>
              <w:t>Refer for medical attention.</w:t>
            </w:r>
          </w:p>
        </w:tc>
      </w:tr>
    </w:tbl>
    <w:p w14:paraId="42375160" w14:textId="77777777" w:rsidR="009E6CB7" w:rsidRDefault="009E6CB7" w:rsidP="000E6231">
      <w:pPr>
        <w:pStyle w:val="Heading3"/>
        <w:spacing w:before="120"/>
      </w:pPr>
      <w:r w:rsidRPr="00BE6D8A">
        <w:t>Fire-</w:t>
      </w:r>
      <w:r>
        <w:t>f</w:t>
      </w:r>
      <w:r w:rsidRPr="00BE6D8A">
        <w:t xml:space="preserve">ighting </w:t>
      </w:r>
      <w:r>
        <w:t>m</w:t>
      </w:r>
      <w:r w:rsidRPr="00BE6D8A">
        <w:t>easures</w:t>
      </w:r>
    </w:p>
    <w:p w14:paraId="5F39A37E" w14:textId="77777777" w:rsidR="009E6CB7" w:rsidRDefault="009E6CB7" w:rsidP="009E6CB7">
      <w:r w:rsidRPr="00BE6D8A">
        <w:t>In case of fire in the surroundings, use appropriate extinguishing media.</w:t>
      </w:r>
      <w:r w:rsidR="00D9781B">
        <w:t xml:space="preserve"> </w:t>
      </w:r>
      <w:r w:rsidRPr="00BE6D8A">
        <w:t>In case of fire: keep drums, etc., cool by spraying with water.</w:t>
      </w:r>
    </w:p>
    <w:p w14:paraId="41420DE3" w14:textId="77777777" w:rsidR="009E6CB7" w:rsidRPr="00BE6D8A" w:rsidRDefault="009E6CB7" w:rsidP="009E6CB7">
      <w:pPr>
        <w:pStyle w:val="Heading3"/>
        <w:rPr>
          <w:snapToGrid w:val="0"/>
        </w:rPr>
      </w:pPr>
      <w:r w:rsidRPr="00BE6D8A">
        <w:rPr>
          <w:snapToGrid w:val="0"/>
        </w:rPr>
        <w:t>Spillage disposal</w:t>
      </w:r>
    </w:p>
    <w:p w14:paraId="1E1B93A3" w14:textId="77777777" w:rsidR="009E6CB7" w:rsidRPr="00BE6D8A" w:rsidRDefault="009E6CB7" w:rsidP="009E6CB7">
      <w:pPr>
        <w:rPr>
          <w:lang w:eastAsia="en-US"/>
        </w:rPr>
      </w:pPr>
      <w:r w:rsidRPr="00BE6D8A">
        <w:rPr>
          <w:lang w:eastAsia="en-US"/>
        </w:rPr>
        <w:t>Evacuate danger area! Consult an expert! Personal protection: chemical protection suit and filter respirator for mercury adapted to the airborne concentration of the substance. Ventilation. D</w:t>
      </w:r>
      <w:r>
        <w:rPr>
          <w:lang w:eastAsia="en-US"/>
        </w:rPr>
        <w:t>O</w:t>
      </w:r>
      <w:r w:rsidRPr="00BE6D8A">
        <w:rPr>
          <w:lang w:eastAsia="en-US"/>
        </w:rPr>
        <w:t xml:space="preserve"> NOT let this chemical enter the </w:t>
      </w:r>
      <w:r w:rsidRPr="00BE6D8A">
        <w:rPr>
          <w:lang w:eastAsia="en-US"/>
        </w:rPr>
        <w:lastRenderedPageBreak/>
        <w:t>environment. Collect leaking and spilled liquid in sealable non-metallic containers as far as possible. Then store and dispose of according to local regulations.</w:t>
      </w:r>
    </w:p>
    <w:p w14:paraId="22FB8359" w14:textId="77777777" w:rsidR="009E6CB7" w:rsidRPr="00BE6D8A" w:rsidRDefault="009E6CB7" w:rsidP="009E6CB7">
      <w:pPr>
        <w:pStyle w:val="Heading3"/>
        <w:rPr>
          <w:snapToGrid w:val="0"/>
        </w:rPr>
      </w:pPr>
      <w:r w:rsidRPr="00BE6D8A">
        <w:rPr>
          <w:snapToGrid w:val="0"/>
        </w:rPr>
        <w:t>Storage</w:t>
      </w:r>
    </w:p>
    <w:p w14:paraId="25EAAA7A" w14:textId="77777777" w:rsidR="009E6CB7" w:rsidRDefault="009E6CB7" w:rsidP="009E6CB7">
      <w:pPr>
        <w:rPr>
          <w:snapToGrid w:val="0"/>
        </w:rPr>
      </w:pPr>
      <w:r w:rsidRPr="00BE6D8A">
        <w:rPr>
          <w:snapToGrid w:val="0"/>
        </w:rPr>
        <w:t>Provision to contain effluent from fire extinguishing. Separated from food and feedstuffs. Well closed. Store in an area without drain or sewer access</w:t>
      </w:r>
      <w:r w:rsidRPr="000519D7">
        <w:rPr>
          <w:snapToGrid w:val="0"/>
        </w:rPr>
        <w:t>.</w:t>
      </w:r>
    </w:p>
    <w:p w14:paraId="369AC630" w14:textId="77777777" w:rsidR="009E6CB7" w:rsidRDefault="009E6CB7" w:rsidP="009E6CB7">
      <w:pPr>
        <w:pStyle w:val="Heading2"/>
      </w:pPr>
      <w:bookmarkStart w:id="18" w:name="_Toc154010820"/>
      <w:r>
        <w:t>4</w:t>
      </w:r>
      <w:r w:rsidRPr="00B1179D">
        <w:t>.</w:t>
      </w:r>
      <w:r>
        <w:t>5</w:t>
      </w:r>
      <w:r>
        <w:tab/>
      </w:r>
      <w:r w:rsidRPr="009E6CB7">
        <w:t>Waste management</w:t>
      </w:r>
      <w:bookmarkEnd w:id="18"/>
    </w:p>
    <w:p w14:paraId="6AB1FE4B" w14:textId="77777777" w:rsidR="009E6CB7" w:rsidRPr="00136204" w:rsidRDefault="009E6CB7" w:rsidP="009E6CB7">
      <w:pPr>
        <w:widowControl w:val="0"/>
        <w:spacing w:before="20" w:after="20"/>
        <w:rPr>
          <w:rFonts w:eastAsia="Times New Roman"/>
          <w:snapToGrid w:val="0"/>
          <w:szCs w:val="20"/>
          <w:lang w:eastAsia="en-US"/>
        </w:rPr>
      </w:pPr>
      <w:r w:rsidRPr="00136204">
        <w:rPr>
          <w:rFonts w:eastAsia="Times New Roman"/>
          <w:snapToGrid w:val="0"/>
          <w:szCs w:val="20"/>
          <w:lang w:eastAsia="en-US"/>
        </w:rPr>
        <w:t>Regulation (EU) 2017/852 on mercury was adopted in May 2017. This regulation complements the European Union acquis and lays down the provisions that are needed to ensure the complete alignment of the European Union acquis with the Minamata Convention on Mercury establishing measures and conditions concerning the use and storage of and trade in mercury, mercury compounds and mixtures of mercury, and the manufacture and use of and trade in mercury-added products, and the management of mercury waste.</w:t>
      </w:r>
    </w:p>
    <w:p w14:paraId="497581CD" w14:textId="77777777" w:rsidR="00904B01" w:rsidRDefault="009E6CB7" w:rsidP="009E6CB7">
      <w:pPr>
        <w:rPr>
          <w:rFonts w:eastAsia="Times New Roman"/>
          <w:szCs w:val="20"/>
          <w:lang w:val="en-CA" w:eastAsia="en-US"/>
        </w:rPr>
      </w:pPr>
      <w:r w:rsidRPr="00136204">
        <w:rPr>
          <w:rFonts w:eastAsia="Times New Roman"/>
          <w:szCs w:val="20"/>
          <w:lang w:val="en-CA" w:eastAsia="en-US"/>
        </w:rPr>
        <w:t xml:space="preserve">Basel Technical guidelines on the environmentally sound management of wastes consisting of, containing or contaminated with mercury or mercury compounds are available - Adopted by COP-15, </w:t>
      </w:r>
      <w:r>
        <w:rPr>
          <w:rFonts w:eastAsia="Times New Roman"/>
          <w:szCs w:val="20"/>
          <w:lang w:val="en-CA" w:eastAsia="en-US"/>
        </w:rPr>
        <w:t>June</w:t>
      </w:r>
      <w:r w:rsidRPr="00136204">
        <w:rPr>
          <w:rFonts w:eastAsia="Times New Roman"/>
          <w:szCs w:val="20"/>
          <w:lang w:val="en-CA" w:eastAsia="en-US"/>
        </w:rPr>
        <w:t xml:space="preserve"> 202</w:t>
      </w:r>
      <w:r>
        <w:rPr>
          <w:rFonts w:eastAsia="Times New Roman"/>
          <w:szCs w:val="20"/>
          <w:lang w:val="en-CA" w:eastAsia="en-US"/>
        </w:rPr>
        <w:t>2 (</w:t>
      </w:r>
      <w:hyperlink r:id="rId27" w:history="1">
        <w:r w:rsidRPr="00136204">
          <w:rPr>
            <w:rStyle w:val="Hyperlink"/>
            <w:rFonts w:eastAsia="Times New Roman"/>
            <w:szCs w:val="20"/>
            <w:lang w:val="en-CA" w:eastAsia="en-US"/>
          </w:rPr>
          <w:t>Technical guidelines</w:t>
        </w:r>
      </w:hyperlink>
      <w:r>
        <w:rPr>
          <w:rFonts w:eastAsia="Times New Roman"/>
          <w:szCs w:val="20"/>
          <w:lang w:val="en-CA" w:eastAsia="en-US"/>
        </w:rPr>
        <w:t>).</w:t>
      </w:r>
    </w:p>
    <w:p w14:paraId="3C01674B" w14:textId="77777777" w:rsidR="00AA6543" w:rsidRPr="00D066CE" w:rsidRDefault="00AA6543" w:rsidP="00AA6543">
      <w:pPr>
        <w:tabs>
          <w:tab w:val="left" w:pos="-720"/>
          <w:tab w:val="left" w:pos="0"/>
          <w:tab w:val="left" w:pos="720"/>
        </w:tabs>
        <w:suppressAutoHyphens/>
        <w:rPr>
          <w:rFonts w:eastAsia="Times New Roman"/>
          <w:sz w:val="10"/>
          <w:szCs w:val="10"/>
          <w:lang w:val="en-CA" w:eastAsia="en-US"/>
        </w:rPr>
      </w:pP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9498"/>
      </w:tblGrid>
      <w:tr w:rsidR="00AA6543" w:rsidRPr="00B1179D" w14:paraId="0764C064" w14:textId="77777777" w:rsidTr="00266BB6">
        <w:tc>
          <w:tcPr>
            <w:tcW w:w="9498" w:type="dxa"/>
            <w:shd w:val="pct12" w:color="000000" w:fill="FFFFFF"/>
            <w:vAlign w:val="center"/>
          </w:tcPr>
          <w:p w14:paraId="1CE48F93" w14:textId="77777777" w:rsidR="00AA6543" w:rsidRPr="00266BB6" w:rsidRDefault="00AA6543" w:rsidP="00266BB6">
            <w:pPr>
              <w:spacing w:before="120"/>
              <w:rPr>
                <w:b/>
                <w:bCs/>
                <w:lang w:val="fr-FR" w:eastAsia="en-US"/>
              </w:rPr>
            </w:pPr>
            <w:r w:rsidRPr="00D066CE">
              <w:rPr>
                <w:snapToGrid w:val="0"/>
                <w:sz w:val="29"/>
                <w:lang w:val="en-CA" w:eastAsia="en-US"/>
              </w:rPr>
              <w:br w:type="page"/>
            </w:r>
            <w:r w:rsidRPr="00266BB6">
              <w:rPr>
                <w:b/>
                <w:bCs/>
                <w:lang w:val="fr-FR" w:eastAsia="en-US"/>
              </w:rPr>
              <w:t>Annexes</w:t>
            </w:r>
          </w:p>
        </w:tc>
      </w:tr>
    </w:tbl>
    <w:p w14:paraId="3F356278" w14:textId="77777777" w:rsidR="00AA6543" w:rsidRPr="00AA6543" w:rsidRDefault="00AA6543" w:rsidP="00AA6543">
      <w:pPr>
        <w:tabs>
          <w:tab w:val="left" w:pos="-720"/>
          <w:tab w:val="left" w:pos="0"/>
          <w:tab w:val="left" w:pos="720"/>
        </w:tabs>
        <w:suppressAutoHyphens/>
        <w:rPr>
          <w:rFonts w:eastAsia="Times New Roman"/>
          <w:sz w:val="10"/>
          <w:szCs w:val="10"/>
          <w:lang w:val="fr-FR" w:eastAsia="en-US"/>
        </w:rPr>
      </w:pPr>
    </w:p>
    <w:tbl>
      <w:tblPr>
        <w:tblW w:w="0" w:type="auto"/>
        <w:tblInd w:w="108" w:type="dxa"/>
        <w:tblLayout w:type="fixed"/>
        <w:tblLook w:val="0000" w:firstRow="0" w:lastRow="0" w:firstColumn="0" w:lastColumn="0" w:noHBand="0" w:noVBand="0"/>
      </w:tblPr>
      <w:tblGrid>
        <w:gridCol w:w="1170"/>
        <w:gridCol w:w="7077"/>
      </w:tblGrid>
      <w:tr w:rsidR="00AA6543" w:rsidRPr="00B1179D" w14:paraId="554B969B" w14:textId="77777777" w:rsidTr="00B1179D">
        <w:trPr>
          <w:cantSplit/>
        </w:trPr>
        <w:tc>
          <w:tcPr>
            <w:tcW w:w="1170" w:type="dxa"/>
          </w:tcPr>
          <w:p w14:paraId="7E0F5A86" w14:textId="77777777" w:rsidR="00AA6543" w:rsidRPr="00B1179D" w:rsidRDefault="00AA6543" w:rsidP="00B1179D">
            <w:pPr>
              <w:spacing w:before="40" w:after="40"/>
              <w:rPr>
                <w:rFonts w:eastAsia="Times New Roman"/>
                <w:szCs w:val="20"/>
                <w:lang w:eastAsia="en-US"/>
              </w:rPr>
            </w:pPr>
            <w:r w:rsidRPr="00B1179D">
              <w:rPr>
                <w:rFonts w:eastAsia="Times New Roman"/>
                <w:szCs w:val="20"/>
                <w:lang w:eastAsia="en-US"/>
              </w:rPr>
              <w:t>Annex 1</w:t>
            </w:r>
            <w:r w:rsidR="00006B07">
              <w:rPr>
                <w:rFonts w:eastAsia="Times New Roman"/>
                <w:szCs w:val="20"/>
                <w:lang w:eastAsia="en-US"/>
              </w:rPr>
              <w:t>:</w:t>
            </w:r>
          </w:p>
        </w:tc>
        <w:tc>
          <w:tcPr>
            <w:tcW w:w="7077" w:type="dxa"/>
          </w:tcPr>
          <w:p w14:paraId="2E10CB14" w14:textId="77777777" w:rsidR="00AA6543" w:rsidRPr="00F35D07" w:rsidRDefault="00AA6543" w:rsidP="00B1179D">
            <w:pPr>
              <w:spacing w:before="40" w:after="40"/>
              <w:rPr>
                <w:rFonts w:eastAsia="Times New Roman"/>
                <w:bCs/>
                <w:szCs w:val="20"/>
                <w:lang w:eastAsia="en-US"/>
              </w:rPr>
            </w:pPr>
            <w:r w:rsidRPr="00F35D07">
              <w:rPr>
                <w:rFonts w:eastAsia="Times New Roman"/>
                <w:bCs/>
                <w:szCs w:val="20"/>
                <w:lang w:eastAsia="en-US"/>
              </w:rPr>
              <w:t>Further information on the substance</w:t>
            </w:r>
          </w:p>
        </w:tc>
      </w:tr>
      <w:tr w:rsidR="00AA6543" w:rsidRPr="00B1179D" w14:paraId="6FC70812" w14:textId="77777777" w:rsidTr="00B1179D">
        <w:trPr>
          <w:cantSplit/>
        </w:trPr>
        <w:tc>
          <w:tcPr>
            <w:tcW w:w="1170" w:type="dxa"/>
          </w:tcPr>
          <w:p w14:paraId="4FDD9811" w14:textId="77777777" w:rsidR="00AA6543" w:rsidRPr="00B1179D" w:rsidRDefault="00AA6543" w:rsidP="00B1179D">
            <w:pPr>
              <w:spacing w:before="40" w:after="40"/>
              <w:rPr>
                <w:rFonts w:eastAsia="Times New Roman"/>
                <w:szCs w:val="20"/>
                <w:lang w:eastAsia="en-US"/>
              </w:rPr>
            </w:pPr>
            <w:r w:rsidRPr="00B1179D">
              <w:rPr>
                <w:rFonts w:eastAsia="Times New Roman"/>
                <w:szCs w:val="20"/>
                <w:lang w:eastAsia="en-US"/>
              </w:rPr>
              <w:t>Annex 2</w:t>
            </w:r>
            <w:r w:rsidR="00006B07">
              <w:rPr>
                <w:rFonts w:eastAsia="Times New Roman"/>
                <w:szCs w:val="20"/>
                <w:lang w:eastAsia="en-US"/>
              </w:rPr>
              <w:t>:</w:t>
            </w:r>
          </w:p>
        </w:tc>
        <w:tc>
          <w:tcPr>
            <w:tcW w:w="7077" w:type="dxa"/>
          </w:tcPr>
          <w:p w14:paraId="031FA344" w14:textId="77777777" w:rsidR="00AA6543" w:rsidRPr="00F35D07" w:rsidRDefault="00AA6543" w:rsidP="00B1179D">
            <w:pPr>
              <w:spacing w:before="40" w:after="40"/>
              <w:rPr>
                <w:rFonts w:eastAsia="Times New Roman"/>
                <w:bCs/>
                <w:szCs w:val="20"/>
                <w:lang w:eastAsia="en-US"/>
              </w:rPr>
            </w:pPr>
            <w:r w:rsidRPr="00F35D07">
              <w:rPr>
                <w:rFonts w:eastAsia="Times New Roman"/>
                <w:bCs/>
                <w:szCs w:val="20"/>
                <w:lang w:eastAsia="en-US"/>
              </w:rPr>
              <w:t xml:space="preserve">Details on </w:t>
            </w:r>
            <w:r w:rsidR="00006B07">
              <w:rPr>
                <w:rFonts w:eastAsia="Times New Roman"/>
                <w:bCs/>
                <w:szCs w:val="20"/>
                <w:lang w:eastAsia="en-US"/>
              </w:rPr>
              <w:t>f</w:t>
            </w:r>
            <w:r w:rsidRPr="00F35D07">
              <w:rPr>
                <w:rFonts w:eastAsia="Times New Roman"/>
                <w:bCs/>
                <w:szCs w:val="20"/>
                <w:lang w:eastAsia="en-US"/>
              </w:rPr>
              <w:t>inal regulatory action</w:t>
            </w:r>
          </w:p>
        </w:tc>
      </w:tr>
      <w:tr w:rsidR="00AA6543" w:rsidRPr="00B1179D" w14:paraId="5BA54817" w14:textId="77777777" w:rsidTr="00B1179D">
        <w:trPr>
          <w:cantSplit/>
        </w:trPr>
        <w:tc>
          <w:tcPr>
            <w:tcW w:w="1170" w:type="dxa"/>
          </w:tcPr>
          <w:p w14:paraId="418D865D" w14:textId="77777777" w:rsidR="00AA6543" w:rsidRPr="00B1179D" w:rsidRDefault="00AA6543" w:rsidP="00B1179D">
            <w:pPr>
              <w:spacing w:before="40" w:after="40"/>
              <w:rPr>
                <w:rFonts w:eastAsia="Times New Roman"/>
                <w:szCs w:val="20"/>
                <w:lang w:eastAsia="en-US"/>
              </w:rPr>
            </w:pPr>
            <w:r w:rsidRPr="00B1179D">
              <w:rPr>
                <w:rFonts w:eastAsia="Times New Roman"/>
                <w:szCs w:val="20"/>
                <w:lang w:eastAsia="en-US"/>
              </w:rPr>
              <w:t>Annex 3</w:t>
            </w:r>
            <w:r w:rsidR="00006B07">
              <w:rPr>
                <w:rFonts w:eastAsia="Times New Roman"/>
                <w:szCs w:val="20"/>
                <w:lang w:eastAsia="en-US"/>
              </w:rPr>
              <w:t>:</w:t>
            </w:r>
          </w:p>
        </w:tc>
        <w:tc>
          <w:tcPr>
            <w:tcW w:w="7077" w:type="dxa"/>
          </w:tcPr>
          <w:p w14:paraId="6D6876DF" w14:textId="77777777" w:rsidR="00AA6543" w:rsidRPr="00F35D07" w:rsidRDefault="00AA6543" w:rsidP="00B1179D">
            <w:pPr>
              <w:spacing w:before="40" w:after="40"/>
              <w:rPr>
                <w:rFonts w:eastAsia="Times New Roman"/>
                <w:bCs/>
                <w:szCs w:val="20"/>
                <w:lang w:eastAsia="en-US"/>
              </w:rPr>
            </w:pPr>
            <w:r w:rsidRPr="00F35D07">
              <w:rPr>
                <w:rFonts w:eastAsia="Times New Roman"/>
                <w:bCs/>
                <w:szCs w:val="20"/>
                <w:lang w:eastAsia="en-US"/>
              </w:rPr>
              <w:t>Address of designated national authorities</w:t>
            </w:r>
          </w:p>
        </w:tc>
      </w:tr>
      <w:tr w:rsidR="00AA6543" w:rsidRPr="00B1179D" w14:paraId="7C76EEC8" w14:textId="77777777" w:rsidTr="00B1179D">
        <w:trPr>
          <w:cantSplit/>
        </w:trPr>
        <w:tc>
          <w:tcPr>
            <w:tcW w:w="1170" w:type="dxa"/>
          </w:tcPr>
          <w:p w14:paraId="6ECB7697" w14:textId="77777777" w:rsidR="00AA6543" w:rsidRPr="00B1179D" w:rsidRDefault="00AA6543" w:rsidP="00B1179D">
            <w:pPr>
              <w:spacing w:before="40" w:after="40"/>
              <w:rPr>
                <w:rFonts w:eastAsia="Times New Roman"/>
                <w:szCs w:val="20"/>
                <w:lang w:eastAsia="en-US"/>
              </w:rPr>
            </w:pPr>
            <w:r w:rsidRPr="00B1179D">
              <w:rPr>
                <w:rFonts w:eastAsia="Times New Roman"/>
                <w:szCs w:val="20"/>
                <w:lang w:eastAsia="en-US"/>
              </w:rPr>
              <w:t>Annex 4</w:t>
            </w:r>
            <w:r w:rsidR="00006B07">
              <w:rPr>
                <w:rFonts w:eastAsia="Times New Roman"/>
                <w:szCs w:val="20"/>
                <w:lang w:eastAsia="en-US"/>
              </w:rPr>
              <w:t>:</w:t>
            </w:r>
          </w:p>
        </w:tc>
        <w:tc>
          <w:tcPr>
            <w:tcW w:w="7077" w:type="dxa"/>
          </w:tcPr>
          <w:p w14:paraId="0E916FB3" w14:textId="77777777" w:rsidR="00476BF9" w:rsidRPr="00F35D07" w:rsidRDefault="00AA6543" w:rsidP="002C791B">
            <w:pPr>
              <w:spacing w:before="40" w:after="40"/>
              <w:rPr>
                <w:rFonts w:eastAsia="Times New Roman"/>
                <w:bCs/>
                <w:szCs w:val="20"/>
                <w:lang w:eastAsia="en-US"/>
              </w:rPr>
            </w:pPr>
            <w:r w:rsidRPr="00F35D07">
              <w:rPr>
                <w:rFonts w:eastAsia="Times New Roman"/>
                <w:bCs/>
                <w:szCs w:val="20"/>
                <w:lang w:eastAsia="en-US"/>
              </w:rPr>
              <w:t>References</w:t>
            </w:r>
          </w:p>
        </w:tc>
      </w:tr>
    </w:tbl>
    <w:p w14:paraId="79B356CE" w14:textId="77777777" w:rsidR="002C791B" w:rsidRPr="00B1179D" w:rsidRDefault="00AA6543" w:rsidP="002C791B">
      <w:pPr>
        <w:pStyle w:val="Heading1"/>
      </w:pPr>
      <w:r w:rsidRPr="00AA6543">
        <w:rPr>
          <w:sz w:val="10"/>
          <w:szCs w:val="10"/>
        </w:rPr>
        <w:br w:type="page"/>
      </w:r>
      <w:bookmarkStart w:id="19" w:name="_Toc154010821"/>
      <w:r w:rsidR="002C791B" w:rsidRPr="00B1179D">
        <w:lastRenderedPageBreak/>
        <w:t>Annex 1</w:t>
      </w:r>
      <w:r w:rsidR="005B6E7E">
        <w:t xml:space="preserve">: </w:t>
      </w:r>
      <w:r w:rsidR="002C791B" w:rsidRPr="00B1179D">
        <w:t>Further information on the substance</w:t>
      </w:r>
      <w:bookmarkEnd w:id="19"/>
    </w:p>
    <w:p w14:paraId="70160941" w14:textId="77777777" w:rsidR="00610CB3" w:rsidRDefault="00610CB3" w:rsidP="00610CB3">
      <w:pPr>
        <w:spacing w:after="60"/>
        <w:rPr>
          <w:rFonts w:eastAsia="Times New Roman"/>
          <w:kern w:val="28"/>
          <w:szCs w:val="20"/>
          <w:lang w:eastAsia="en-US"/>
        </w:rPr>
      </w:pPr>
      <w:r w:rsidRPr="00610CB3">
        <w:rPr>
          <w:rFonts w:eastAsia="Times New Roman"/>
          <w:kern w:val="28"/>
          <w:szCs w:val="20"/>
          <w:lang w:eastAsia="en-US"/>
        </w:rPr>
        <w:t xml:space="preserve">The information presented in this annex reflects the conclusions of the notifying Parties: Colombia and the </w:t>
      </w:r>
      <w:r>
        <w:rPr>
          <w:rFonts w:eastAsia="Times New Roman"/>
          <w:kern w:val="28"/>
          <w:szCs w:val="20"/>
          <w:lang w:eastAsia="en-US"/>
        </w:rPr>
        <w:t>European Union</w:t>
      </w:r>
      <w:r w:rsidRPr="00610CB3">
        <w:rPr>
          <w:rFonts w:eastAsia="Times New Roman"/>
          <w:kern w:val="28"/>
          <w:szCs w:val="20"/>
          <w:lang w:eastAsia="en-US"/>
        </w:rPr>
        <w:t xml:space="preserve">. The notification from Colombia was published in </w:t>
      </w:r>
      <w:r w:rsidRPr="00641CEF">
        <w:rPr>
          <w:rFonts w:eastAsia="Times New Roman"/>
          <w:kern w:val="28"/>
          <w:szCs w:val="20"/>
          <w:lang w:eastAsia="en-US"/>
        </w:rPr>
        <w:t xml:space="preserve">PIC Circular LII of December 2020. The notification from the European Union was published in PIC Circular </w:t>
      </w:r>
      <w:r w:rsidR="00641CEF" w:rsidRPr="00641CEF">
        <w:rPr>
          <w:rFonts w:eastAsia="Times New Roman"/>
          <w:kern w:val="28"/>
          <w:szCs w:val="20"/>
          <w:lang w:eastAsia="en-US"/>
        </w:rPr>
        <w:t>L</w:t>
      </w:r>
      <w:r w:rsidRPr="00641CEF">
        <w:rPr>
          <w:rFonts w:eastAsia="Times New Roman"/>
          <w:kern w:val="28"/>
          <w:szCs w:val="20"/>
          <w:lang w:eastAsia="en-US"/>
        </w:rPr>
        <w:t>V</w:t>
      </w:r>
      <w:r w:rsidR="00641CEF" w:rsidRPr="00641CEF">
        <w:rPr>
          <w:rFonts w:eastAsia="Times New Roman"/>
          <w:kern w:val="28"/>
          <w:szCs w:val="20"/>
          <w:lang w:eastAsia="en-US"/>
        </w:rPr>
        <w:t>I</w:t>
      </w:r>
      <w:r w:rsidRPr="00641CEF">
        <w:rPr>
          <w:rFonts w:eastAsia="Times New Roman"/>
          <w:kern w:val="28"/>
          <w:szCs w:val="20"/>
          <w:lang w:eastAsia="en-US"/>
        </w:rPr>
        <w:t xml:space="preserve"> of </w:t>
      </w:r>
      <w:r w:rsidR="00641CEF" w:rsidRPr="00641CEF">
        <w:rPr>
          <w:rFonts w:eastAsia="Times New Roman"/>
          <w:kern w:val="28"/>
          <w:szCs w:val="20"/>
          <w:lang w:eastAsia="en-US"/>
        </w:rPr>
        <w:t>December</w:t>
      </w:r>
      <w:r w:rsidRPr="00641CEF">
        <w:rPr>
          <w:rFonts w:eastAsia="Times New Roman"/>
          <w:kern w:val="28"/>
          <w:szCs w:val="20"/>
          <w:lang w:eastAsia="en-US"/>
        </w:rPr>
        <w:t xml:space="preserve"> 20</w:t>
      </w:r>
      <w:r w:rsidR="00641CEF" w:rsidRPr="00641CEF">
        <w:rPr>
          <w:rFonts w:eastAsia="Times New Roman"/>
          <w:kern w:val="28"/>
          <w:szCs w:val="20"/>
          <w:lang w:eastAsia="en-US"/>
        </w:rPr>
        <w:t>2</w:t>
      </w:r>
      <w:r w:rsidRPr="00641CEF">
        <w:rPr>
          <w:rFonts w:eastAsia="Times New Roman"/>
          <w:kern w:val="28"/>
          <w:szCs w:val="20"/>
          <w:lang w:eastAsia="en-US"/>
        </w:rPr>
        <w:t>2.</w:t>
      </w:r>
      <w:r w:rsidRPr="00610CB3">
        <w:rPr>
          <w:rFonts w:eastAsia="Times New Roman"/>
          <w:kern w:val="28"/>
          <w:szCs w:val="20"/>
          <w:lang w:eastAsia="en-US"/>
        </w:rPr>
        <w:t xml:space="preserve">This information has been taken from the notifications of the final regulatory actions to ban </w:t>
      </w:r>
      <w:r>
        <w:rPr>
          <w:rFonts w:eastAsia="Times New Roman"/>
          <w:kern w:val="28"/>
          <w:szCs w:val="20"/>
          <w:lang w:eastAsia="en-US"/>
        </w:rPr>
        <w:t>mercury</w:t>
      </w:r>
      <w:r w:rsidRPr="00610CB3">
        <w:rPr>
          <w:rFonts w:eastAsia="Times New Roman"/>
          <w:kern w:val="28"/>
          <w:szCs w:val="20"/>
          <w:lang w:eastAsia="en-US"/>
        </w:rPr>
        <w:t xml:space="preserve"> and the supporting documents.</w:t>
      </w:r>
    </w:p>
    <w:p w14:paraId="186DFC86" w14:textId="77777777" w:rsidR="00E649AB" w:rsidRPr="0091214A" w:rsidRDefault="00E649AB" w:rsidP="00610CB3">
      <w:pPr>
        <w:spacing w:after="60"/>
        <w:rPr>
          <w:rFonts w:eastAsia="Times New Roman"/>
          <w:kern w:val="28"/>
          <w:szCs w:val="20"/>
          <w:lang w:eastAsia="en-US"/>
        </w:rPr>
      </w:pPr>
      <w:r w:rsidRPr="0091214A">
        <w:rPr>
          <w:rFonts w:eastAsia="Times New Roman"/>
          <w:kern w:val="28"/>
          <w:szCs w:val="20"/>
          <w:lang w:eastAsia="en-US"/>
        </w:rPr>
        <w:t>The toxicity of mercury is very well documented internationally and</w:t>
      </w:r>
      <w:r w:rsidR="00A84B50" w:rsidRPr="0091214A">
        <w:rPr>
          <w:rFonts w:eastAsia="Times New Roman"/>
          <w:kern w:val="28"/>
          <w:szCs w:val="20"/>
          <w:lang w:eastAsia="en-US"/>
        </w:rPr>
        <w:t xml:space="preserve"> only</w:t>
      </w:r>
      <w:r w:rsidRPr="0091214A">
        <w:rPr>
          <w:rFonts w:eastAsia="Times New Roman"/>
          <w:kern w:val="28"/>
          <w:szCs w:val="20"/>
          <w:lang w:eastAsia="en-US"/>
        </w:rPr>
        <w:t xml:space="preserve"> a </w:t>
      </w:r>
      <w:r w:rsidR="00A84B50" w:rsidRPr="0091214A">
        <w:rPr>
          <w:rFonts w:eastAsia="Times New Roman"/>
          <w:kern w:val="28"/>
          <w:szCs w:val="20"/>
          <w:lang w:eastAsia="en-US"/>
        </w:rPr>
        <w:t xml:space="preserve">brief </w:t>
      </w:r>
      <w:r w:rsidRPr="0091214A">
        <w:rPr>
          <w:rFonts w:eastAsia="Times New Roman"/>
          <w:kern w:val="28"/>
          <w:szCs w:val="20"/>
          <w:lang w:eastAsia="en-US"/>
        </w:rPr>
        <w:t>summary of data to supplement information provided in the notifications is included</w:t>
      </w:r>
      <w:r w:rsidR="00A84B50" w:rsidRPr="0091214A">
        <w:rPr>
          <w:rFonts w:eastAsia="Times New Roman"/>
          <w:kern w:val="28"/>
          <w:szCs w:val="20"/>
          <w:lang w:eastAsia="en-US"/>
        </w:rPr>
        <w:t xml:space="preserve"> in this annex</w:t>
      </w:r>
      <w:r w:rsidRPr="0091214A">
        <w:rPr>
          <w:rFonts w:eastAsia="Times New Roman"/>
          <w:kern w:val="28"/>
          <w:szCs w:val="20"/>
          <w:lang w:eastAsia="en-US"/>
        </w:rPr>
        <w:t xml:space="preserve">. This annex is not meant to be a comprehensive review of the toxicological profile of mercury. </w:t>
      </w:r>
    </w:p>
    <w:p w14:paraId="4E7D6889" w14:textId="77777777" w:rsidR="00A84B50" w:rsidRPr="0091214A" w:rsidRDefault="00A84B50" w:rsidP="00610CB3">
      <w:pPr>
        <w:spacing w:after="60"/>
        <w:rPr>
          <w:rFonts w:eastAsia="Times New Roman"/>
          <w:kern w:val="28"/>
          <w:szCs w:val="20"/>
          <w:lang w:eastAsia="en-US"/>
        </w:rPr>
      </w:pPr>
      <w:r w:rsidRPr="0091214A">
        <w:rPr>
          <w:rFonts w:eastAsia="Times New Roman"/>
          <w:kern w:val="28"/>
          <w:szCs w:val="20"/>
          <w:lang w:eastAsia="en-US"/>
        </w:rPr>
        <w:t>More detailed information is available in the following UNEP Mercury Assessments:</w:t>
      </w:r>
    </w:p>
    <w:p w14:paraId="3C203107" w14:textId="77777777" w:rsidR="00A84B50" w:rsidRPr="0091214A" w:rsidRDefault="00A84B50" w:rsidP="00E644D1">
      <w:pPr>
        <w:numPr>
          <w:ilvl w:val="0"/>
          <w:numId w:val="37"/>
        </w:numPr>
        <w:snapToGrid w:val="0"/>
        <w:rPr>
          <w:rFonts w:eastAsia="Times New Roman"/>
          <w:kern w:val="28"/>
          <w:szCs w:val="20"/>
          <w:lang w:eastAsia="en-US"/>
        </w:rPr>
      </w:pPr>
      <w:r w:rsidRPr="0091214A">
        <w:rPr>
          <w:rFonts w:eastAsia="Times New Roman"/>
          <w:kern w:val="28"/>
          <w:szCs w:val="20"/>
          <w:lang w:eastAsia="en-US"/>
        </w:rPr>
        <w:t>Global Mercury Assessment</w:t>
      </w:r>
      <w:r w:rsidR="003564FA" w:rsidRPr="0091214A">
        <w:rPr>
          <w:rFonts w:eastAsia="Times New Roman"/>
          <w:kern w:val="28"/>
          <w:szCs w:val="20"/>
          <w:lang w:eastAsia="en-US"/>
        </w:rPr>
        <w:t xml:space="preserve"> </w:t>
      </w:r>
      <w:r w:rsidRPr="0091214A">
        <w:rPr>
          <w:rFonts w:eastAsia="Times New Roman"/>
          <w:kern w:val="28"/>
          <w:szCs w:val="20"/>
          <w:lang w:eastAsia="en-US"/>
        </w:rPr>
        <w:t>2002</w:t>
      </w:r>
      <w:r w:rsidR="00E644D1">
        <w:rPr>
          <w:rFonts w:eastAsia="Times New Roman"/>
          <w:kern w:val="28"/>
          <w:szCs w:val="20"/>
          <w:lang w:eastAsia="en-US"/>
        </w:rPr>
        <w:t>;</w:t>
      </w:r>
    </w:p>
    <w:p w14:paraId="3A05AA8B" w14:textId="77777777" w:rsidR="00A84B50" w:rsidRPr="0091214A" w:rsidRDefault="003564FA" w:rsidP="00E644D1">
      <w:pPr>
        <w:numPr>
          <w:ilvl w:val="0"/>
          <w:numId w:val="37"/>
        </w:numPr>
        <w:snapToGrid w:val="0"/>
        <w:rPr>
          <w:rFonts w:eastAsia="Times New Roman"/>
          <w:kern w:val="28"/>
          <w:szCs w:val="20"/>
          <w:lang w:eastAsia="en-US"/>
        </w:rPr>
      </w:pPr>
      <w:r w:rsidRPr="0091214A">
        <w:rPr>
          <w:rFonts w:eastAsia="Times New Roman"/>
          <w:kern w:val="28"/>
          <w:szCs w:val="20"/>
          <w:lang w:eastAsia="en-US"/>
        </w:rPr>
        <w:t xml:space="preserve">The </w:t>
      </w:r>
      <w:r w:rsidR="00A84B50" w:rsidRPr="0091214A">
        <w:rPr>
          <w:rFonts w:eastAsia="Times New Roman"/>
          <w:kern w:val="28"/>
          <w:szCs w:val="20"/>
          <w:lang w:eastAsia="en-US"/>
        </w:rPr>
        <w:t xml:space="preserve">Global </w:t>
      </w:r>
      <w:r w:rsidR="003B1EFB" w:rsidRPr="0091214A">
        <w:rPr>
          <w:rFonts w:eastAsia="Times New Roman"/>
          <w:kern w:val="28"/>
          <w:szCs w:val="20"/>
          <w:lang w:eastAsia="en-US"/>
        </w:rPr>
        <w:t xml:space="preserve">Atmospheric </w:t>
      </w:r>
      <w:r w:rsidR="00A84B50" w:rsidRPr="0091214A">
        <w:rPr>
          <w:rFonts w:eastAsia="Times New Roman"/>
          <w:kern w:val="28"/>
          <w:szCs w:val="20"/>
          <w:lang w:eastAsia="en-US"/>
        </w:rPr>
        <w:t>Mercury Atmospheric Assessment</w:t>
      </w:r>
      <w:r w:rsidRPr="0091214A">
        <w:rPr>
          <w:rFonts w:eastAsia="Times New Roman"/>
          <w:kern w:val="28"/>
          <w:szCs w:val="20"/>
          <w:lang w:eastAsia="en-US"/>
        </w:rPr>
        <w:t xml:space="preserve"> 2008</w:t>
      </w:r>
      <w:r w:rsidR="003B1EFB" w:rsidRPr="0091214A">
        <w:rPr>
          <w:rFonts w:eastAsia="Times New Roman"/>
          <w:kern w:val="28"/>
          <w:szCs w:val="20"/>
          <w:lang w:eastAsia="en-US"/>
        </w:rPr>
        <w:t>: Sour</w:t>
      </w:r>
      <w:r w:rsidR="00EE1026" w:rsidRPr="0091214A">
        <w:rPr>
          <w:rFonts w:eastAsia="Times New Roman"/>
          <w:kern w:val="28"/>
          <w:szCs w:val="20"/>
          <w:lang w:eastAsia="en-US"/>
        </w:rPr>
        <w:t>c</w:t>
      </w:r>
      <w:r w:rsidR="003B1EFB" w:rsidRPr="0091214A">
        <w:rPr>
          <w:rFonts w:eastAsia="Times New Roman"/>
          <w:kern w:val="28"/>
          <w:szCs w:val="20"/>
          <w:lang w:eastAsia="en-US"/>
        </w:rPr>
        <w:t>e</w:t>
      </w:r>
      <w:r w:rsidRPr="0091214A">
        <w:rPr>
          <w:rFonts w:eastAsia="Times New Roman"/>
          <w:kern w:val="28"/>
          <w:szCs w:val="20"/>
          <w:lang w:eastAsia="en-US"/>
        </w:rPr>
        <w:t>s</w:t>
      </w:r>
      <w:r w:rsidR="003B1EFB" w:rsidRPr="0091214A">
        <w:rPr>
          <w:rFonts w:eastAsia="Times New Roman"/>
          <w:kern w:val="28"/>
          <w:szCs w:val="20"/>
          <w:lang w:eastAsia="en-US"/>
        </w:rPr>
        <w:t>, Emissions and Transport</w:t>
      </w:r>
      <w:r w:rsidR="00E644D1">
        <w:rPr>
          <w:rFonts w:eastAsia="Times New Roman"/>
          <w:kern w:val="28"/>
          <w:szCs w:val="20"/>
          <w:lang w:eastAsia="en-US"/>
        </w:rPr>
        <w:t>;</w:t>
      </w:r>
    </w:p>
    <w:p w14:paraId="066C578A" w14:textId="77777777" w:rsidR="00A84B50" w:rsidRPr="0091214A" w:rsidRDefault="00A84B50" w:rsidP="00E644D1">
      <w:pPr>
        <w:numPr>
          <w:ilvl w:val="0"/>
          <w:numId w:val="37"/>
        </w:numPr>
        <w:snapToGrid w:val="0"/>
        <w:rPr>
          <w:rFonts w:eastAsia="Times New Roman"/>
          <w:kern w:val="28"/>
          <w:szCs w:val="20"/>
          <w:lang w:eastAsia="en-US"/>
        </w:rPr>
      </w:pPr>
      <w:r w:rsidRPr="0091214A">
        <w:rPr>
          <w:rFonts w:eastAsia="Times New Roman"/>
          <w:kern w:val="28"/>
          <w:szCs w:val="20"/>
          <w:lang w:eastAsia="en-US"/>
        </w:rPr>
        <w:t>Global Mercury Assessment 2013: Sources, emissions, releases, and environmental transport</w:t>
      </w:r>
      <w:r w:rsidR="00E644D1">
        <w:rPr>
          <w:rFonts w:eastAsia="Times New Roman"/>
          <w:kern w:val="28"/>
          <w:szCs w:val="20"/>
          <w:lang w:eastAsia="en-US"/>
        </w:rPr>
        <w:t>;</w:t>
      </w:r>
    </w:p>
    <w:p w14:paraId="0566EFBA" w14:textId="77777777" w:rsidR="00A84B50" w:rsidRPr="0091214A" w:rsidRDefault="00A84B50" w:rsidP="00E644D1">
      <w:pPr>
        <w:numPr>
          <w:ilvl w:val="0"/>
          <w:numId w:val="37"/>
        </w:numPr>
        <w:snapToGrid w:val="0"/>
        <w:rPr>
          <w:rFonts w:eastAsia="Times New Roman"/>
          <w:kern w:val="28"/>
          <w:szCs w:val="20"/>
          <w:lang w:eastAsia="en-US"/>
        </w:rPr>
      </w:pPr>
      <w:r w:rsidRPr="0091214A">
        <w:rPr>
          <w:rFonts w:eastAsia="Times New Roman"/>
          <w:kern w:val="28"/>
          <w:szCs w:val="20"/>
          <w:lang w:eastAsia="en-US"/>
        </w:rPr>
        <w:t>Global Mercury Assessment 2018</w:t>
      </w:r>
      <w:r w:rsidR="00E644D1">
        <w:rPr>
          <w:rFonts w:eastAsia="Times New Roman"/>
          <w:kern w:val="28"/>
          <w:szCs w:val="20"/>
          <w:lang w:eastAsia="en-US"/>
        </w:rPr>
        <w:t>.</w:t>
      </w:r>
    </w:p>
    <w:p w14:paraId="59075496" w14:textId="77777777" w:rsidR="00AA6543" w:rsidRPr="00E644D1" w:rsidRDefault="009B1F82" w:rsidP="00610CB3">
      <w:pPr>
        <w:spacing w:after="60"/>
        <w:rPr>
          <w:rFonts w:eastAsia="Times New Roman"/>
          <w:szCs w:val="20"/>
          <w:lang w:eastAsia="en-US"/>
        </w:rPr>
      </w:pPr>
      <w:r w:rsidRPr="0091214A">
        <w:rPr>
          <w:rFonts w:eastAsia="Times New Roman"/>
          <w:kern w:val="28"/>
          <w:szCs w:val="20"/>
          <w:lang w:eastAsia="en-US"/>
        </w:rPr>
        <w:t xml:space="preserve">The </w:t>
      </w:r>
      <w:r w:rsidRPr="00E644D1">
        <w:rPr>
          <w:rFonts w:eastAsia="Times New Roman"/>
          <w:kern w:val="28"/>
          <w:szCs w:val="20"/>
          <w:lang w:eastAsia="en-US"/>
        </w:rPr>
        <w:t>global lifecycle of mercury is addressed under the Minamata Convention on Mercury.</w:t>
      </w:r>
    </w:p>
    <w:p w14:paraId="0944EA2B" w14:textId="77777777" w:rsidR="00E644D1" w:rsidRDefault="00E644D1" w:rsidP="00E644D1">
      <w:pPr>
        <w:pStyle w:val="Heading2"/>
      </w:pPr>
      <w:bookmarkStart w:id="20" w:name="_Toc154010822"/>
      <w:r w:rsidRPr="00E644D1">
        <w:t>1.</w:t>
      </w:r>
      <w:r w:rsidRPr="00266BB6">
        <w:tab/>
      </w:r>
      <w:proofErr w:type="spellStart"/>
      <w:r w:rsidRPr="00266BB6">
        <w:t>Physico</w:t>
      </w:r>
      <w:proofErr w:type="spellEnd"/>
      <w:r w:rsidRPr="00266BB6">
        <w:t>-chemical properties</w:t>
      </w:r>
      <w:bookmarkEnd w:id="20"/>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2480"/>
        <w:gridCol w:w="6300"/>
      </w:tblGrid>
      <w:tr w:rsidR="00E644D1" w:rsidRPr="00B1179D" w14:paraId="3B3B58EA" w14:textId="77777777" w:rsidTr="006C72FE">
        <w:tc>
          <w:tcPr>
            <w:tcW w:w="707" w:type="dxa"/>
            <w:tcBorders>
              <w:top w:val="nil"/>
              <w:left w:val="nil"/>
              <w:bottom w:val="nil"/>
              <w:right w:val="nil"/>
            </w:tcBorders>
          </w:tcPr>
          <w:p w14:paraId="33D827C6"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1.1</w:t>
            </w:r>
          </w:p>
        </w:tc>
        <w:tc>
          <w:tcPr>
            <w:tcW w:w="2443" w:type="dxa"/>
            <w:tcBorders>
              <w:top w:val="nil"/>
              <w:left w:val="nil"/>
              <w:bottom w:val="nil"/>
              <w:right w:val="nil"/>
            </w:tcBorders>
          </w:tcPr>
          <w:p w14:paraId="067A9A98" w14:textId="77777777" w:rsidR="00E644D1" w:rsidRPr="002F07F8" w:rsidRDefault="00E644D1" w:rsidP="002F07F8">
            <w:pPr>
              <w:rPr>
                <w:b/>
                <w:bCs/>
                <w:lang w:eastAsia="en-US"/>
              </w:rPr>
            </w:pPr>
            <w:r w:rsidRPr="002F07F8">
              <w:rPr>
                <w:b/>
                <w:bCs/>
                <w:lang w:eastAsia="en-US"/>
              </w:rPr>
              <w:t xml:space="preserve">Identity </w:t>
            </w:r>
          </w:p>
        </w:tc>
        <w:tc>
          <w:tcPr>
            <w:tcW w:w="6206" w:type="dxa"/>
            <w:tcBorders>
              <w:top w:val="nil"/>
              <w:left w:val="nil"/>
              <w:bottom w:val="nil"/>
              <w:right w:val="nil"/>
            </w:tcBorders>
          </w:tcPr>
          <w:p w14:paraId="28896D85" w14:textId="77777777" w:rsidR="00E644D1" w:rsidRPr="00B1179D" w:rsidRDefault="00E644D1" w:rsidP="006C72FE">
            <w:pPr>
              <w:rPr>
                <w:rFonts w:eastAsia="Times New Roman"/>
                <w:szCs w:val="20"/>
                <w:lang w:eastAsia="en-US"/>
              </w:rPr>
            </w:pPr>
            <w:r>
              <w:rPr>
                <w:rFonts w:eastAsia="Times New Roman"/>
                <w:szCs w:val="20"/>
                <w:lang w:eastAsia="en-US"/>
              </w:rPr>
              <w:t>Mercury</w:t>
            </w:r>
          </w:p>
        </w:tc>
      </w:tr>
      <w:tr w:rsidR="00E644D1" w:rsidRPr="00B1179D" w14:paraId="7FCC0DA2" w14:textId="77777777" w:rsidTr="006C72FE">
        <w:tc>
          <w:tcPr>
            <w:tcW w:w="707" w:type="dxa"/>
            <w:tcBorders>
              <w:top w:val="nil"/>
              <w:left w:val="nil"/>
              <w:bottom w:val="nil"/>
              <w:right w:val="nil"/>
            </w:tcBorders>
          </w:tcPr>
          <w:p w14:paraId="6ECEDB6D" w14:textId="77777777" w:rsidR="00E644D1" w:rsidRPr="00B1179D" w:rsidRDefault="00E644D1" w:rsidP="006C72FE">
            <w:pPr>
              <w:rPr>
                <w:rFonts w:eastAsia="Times New Roman"/>
                <w:b/>
                <w:szCs w:val="20"/>
                <w:lang w:eastAsia="en-US"/>
              </w:rPr>
            </w:pPr>
            <w:r w:rsidRPr="00B1179D">
              <w:rPr>
                <w:rFonts w:eastAsia="Times New Roman"/>
                <w:b/>
                <w:szCs w:val="20"/>
                <w:lang w:eastAsia="en-US"/>
              </w:rPr>
              <w:t>1.2</w:t>
            </w:r>
          </w:p>
        </w:tc>
        <w:tc>
          <w:tcPr>
            <w:tcW w:w="2443" w:type="dxa"/>
            <w:tcBorders>
              <w:top w:val="nil"/>
              <w:left w:val="nil"/>
              <w:bottom w:val="nil"/>
              <w:right w:val="nil"/>
            </w:tcBorders>
          </w:tcPr>
          <w:p w14:paraId="10C4DD4F" w14:textId="77777777" w:rsidR="00E644D1" w:rsidRPr="002F07F8" w:rsidRDefault="00E644D1" w:rsidP="002F07F8">
            <w:pPr>
              <w:rPr>
                <w:b/>
                <w:bCs/>
                <w:lang w:eastAsia="en-US"/>
              </w:rPr>
            </w:pPr>
            <w:r w:rsidRPr="002F07F8">
              <w:rPr>
                <w:b/>
                <w:bCs/>
                <w:lang w:eastAsia="en-US"/>
              </w:rPr>
              <w:t>Formula</w:t>
            </w:r>
          </w:p>
        </w:tc>
        <w:tc>
          <w:tcPr>
            <w:tcW w:w="6206" w:type="dxa"/>
            <w:tcBorders>
              <w:top w:val="nil"/>
              <w:left w:val="nil"/>
              <w:bottom w:val="nil"/>
              <w:right w:val="nil"/>
            </w:tcBorders>
          </w:tcPr>
          <w:p w14:paraId="6B6AEB26" w14:textId="77777777" w:rsidR="00E644D1" w:rsidRPr="00B1179D" w:rsidRDefault="00E644D1" w:rsidP="006C72FE">
            <w:pPr>
              <w:rPr>
                <w:rFonts w:eastAsia="Times New Roman"/>
                <w:szCs w:val="20"/>
                <w:lang w:eastAsia="en-US"/>
              </w:rPr>
            </w:pPr>
            <w:r>
              <w:rPr>
                <w:rFonts w:eastAsia="Times New Roman"/>
                <w:szCs w:val="20"/>
                <w:lang w:eastAsia="en-US"/>
              </w:rPr>
              <w:t>Hg</w:t>
            </w:r>
          </w:p>
        </w:tc>
      </w:tr>
      <w:tr w:rsidR="00E644D1" w14:paraId="2C9F2E06" w14:textId="77777777" w:rsidTr="006C72FE">
        <w:tc>
          <w:tcPr>
            <w:tcW w:w="707" w:type="dxa"/>
            <w:tcBorders>
              <w:top w:val="nil"/>
              <w:left w:val="nil"/>
              <w:bottom w:val="nil"/>
              <w:right w:val="nil"/>
            </w:tcBorders>
          </w:tcPr>
          <w:p w14:paraId="5233F15E" w14:textId="77777777" w:rsidR="00E644D1" w:rsidRDefault="00E644D1" w:rsidP="006C72FE">
            <w:pPr>
              <w:rPr>
                <w:rFonts w:eastAsia="Times New Roman"/>
                <w:b/>
                <w:szCs w:val="20"/>
                <w:lang w:eastAsia="en-US"/>
              </w:rPr>
            </w:pPr>
            <w:r>
              <w:rPr>
                <w:rFonts w:eastAsia="Times New Roman"/>
                <w:b/>
                <w:szCs w:val="20"/>
                <w:lang w:eastAsia="en-US"/>
              </w:rPr>
              <w:t>1.3</w:t>
            </w:r>
          </w:p>
        </w:tc>
        <w:tc>
          <w:tcPr>
            <w:tcW w:w="2443" w:type="dxa"/>
            <w:tcBorders>
              <w:top w:val="nil"/>
              <w:left w:val="nil"/>
              <w:bottom w:val="nil"/>
              <w:right w:val="nil"/>
            </w:tcBorders>
          </w:tcPr>
          <w:p w14:paraId="2DBF842F" w14:textId="77777777" w:rsidR="00E644D1" w:rsidRPr="002F07F8" w:rsidRDefault="00E644D1" w:rsidP="002F07F8">
            <w:pPr>
              <w:rPr>
                <w:b/>
                <w:bCs/>
                <w:lang w:eastAsia="en-US"/>
              </w:rPr>
            </w:pPr>
            <w:r w:rsidRPr="002F07F8">
              <w:rPr>
                <w:b/>
                <w:bCs/>
                <w:lang w:eastAsia="en-US"/>
              </w:rPr>
              <w:t>Mol</w:t>
            </w:r>
            <w:r w:rsidR="00D609EE">
              <w:rPr>
                <w:b/>
                <w:bCs/>
                <w:lang w:eastAsia="en-US"/>
              </w:rPr>
              <w:t>e</w:t>
            </w:r>
            <w:r w:rsidRPr="002F07F8">
              <w:rPr>
                <w:b/>
                <w:bCs/>
                <w:lang w:eastAsia="en-US"/>
              </w:rPr>
              <w:t>cular weight</w:t>
            </w:r>
          </w:p>
        </w:tc>
        <w:tc>
          <w:tcPr>
            <w:tcW w:w="6206" w:type="dxa"/>
            <w:tcBorders>
              <w:top w:val="nil"/>
              <w:left w:val="nil"/>
              <w:bottom w:val="nil"/>
              <w:right w:val="nil"/>
            </w:tcBorders>
          </w:tcPr>
          <w:p w14:paraId="273EBB2B" w14:textId="77777777" w:rsidR="00E644D1" w:rsidRDefault="00E644D1" w:rsidP="006C72FE">
            <w:pPr>
              <w:rPr>
                <w:rFonts w:eastAsia="Times New Roman"/>
                <w:szCs w:val="20"/>
                <w:lang w:eastAsia="en-US"/>
              </w:rPr>
            </w:pPr>
            <w:r>
              <w:rPr>
                <w:rFonts w:eastAsia="Times New Roman"/>
                <w:szCs w:val="20"/>
                <w:lang w:eastAsia="en-US"/>
              </w:rPr>
              <w:t>200.6 g/mol</w:t>
            </w:r>
          </w:p>
        </w:tc>
      </w:tr>
      <w:tr w:rsidR="00E644D1" w:rsidRPr="00B1179D" w14:paraId="6C4FBBA6" w14:textId="77777777" w:rsidTr="006C72FE">
        <w:tc>
          <w:tcPr>
            <w:tcW w:w="707" w:type="dxa"/>
            <w:tcBorders>
              <w:top w:val="nil"/>
              <w:left w:val="nil"/>
              <w:bottom w:val="nil"/>
              <w:right w:val="nil"/>
            </w:tcBorders>
          </w:tcPr>
          <w:p w14:paraId="71B56801" w14:textId="77777777" w:rsidR="00E644D1" w:rsidRPr="00B1179D" w:rsidRDefault="00E644D1" w:rsidP="006C72FE">
            <w:pPr>
              <w:rPr>
                <w:rFonts w:eastAsia="Times New Roman"/>
                <w:b/>
                <w:szCs w:val="20"/>
                <w:lang w:eastAsia="en-US"/>
              </w:rPr>
            </w:pPr>
            <w:r>
              <w:rPr>
                <w:rFonts w:eastAsia="Times New Roman"/>
                <w:b/>
                <w:szCs w:val="20"/>
                <w:lang w:eastAsia="en-US"/>
              </w:rPr>
              <w:t>1.4</w:t>
            </w:r>
          </w:p>
        </w:tc>
        <w:tc>
          <w:tcPr>
            <w:tcW w:w="2443" w:type="dxa"/>
            <w:tcBorders>
              <w:top w:val="nil"/>
              <w:left w:val="nil"/>
              <w:bottom w:val="nil"/>
              <w:right w:val="nil"/>
            </w:tcBorders>
          </w:tcPr>
          <w:p w14:paraId="5763E7AC" w14:textId="77777777" w:rsidR="00E644D1" w:rsidRPr="002F07F8" w:rsidRDefault="00E644D1" w:rsidP="002F07F8">
            <w:pPr>
              <w:rPr>
                <w:b/>
                <w:bCs/>
                <w:lang w:eastAsia="en-US"/>
              </w:rPr>
            </w:pPr>
            <w:r w:rsidRPr="002F07F8">
              <w:rPr>
                <w:b/>
                <w:bCs/>
                <w:lang w:eastAsia="en-US"/>
              </w:rPr>
              <w:t>Colour and Texture</w:t>
            </w:r>
          </w:p>
        </w:tc>
        <w:tc>
          <w:tcPr>
            <w:tcW w:w="6206" w:type="dxa"/>
            <w:tcBorders>
              <w:top w:val="nil"/>
              <w:left w:val="nil"/>
              <w:bottom w:val="nil"/>
              <w:right w:val="nil"/>
            </w:tcBorders>
          </w:tcPr>
          <w:p w14:paraId="2EBB8E52" w14:textId="77777777" w:rsidR="00E644D1" w:rsidRPr="00B1179D" w:rsidRDefault="00E644D1" w:rsidP="006C72FE">
            <w:pPr>
              <w:rPr>
                <w:rFonts w:eastAsia="Times New Roman"/>
                <w:szCs w:val="20"/>
                <w:lang w:eastAsia="en-US"/>
              </w:rPr>
            </w:pPr>
            <w:r>
              <w:rPr>
                <w:rFonts w:eastAsia="Times New Roman"/>
                <w:szCs w:val="20"/>
                <w:lang w:eastAsia="en-US"/>
              </w:rPr>
              <w:t>Silver-white liquid at room temperature</w:t>
            </w:r>
          </w:p>
        </w:tc>
      </w:tr>
      <w:tr w:rsidR="00E644D1" w:rsidRPr="00B1179D" w14:paraId="5EF7C2FE" w14:textId="77777777" w:rsidTr="006C72FE">
        <w:tc>
          <w:tcPr>
            <w:tcW w:w="707" w:type="dxa"/>
            <w:tcBorders>
              <w:top w:val="nil"/>
              <w:left w:val="nil"/>
              <w:bottom w:val="nil"/>
              <w:right w:val="nil"/>
            </w:tcBorders>
          </w:tcPr>
          <w:p w14:paraId="49DEC3AB" w14:textId="77777777" w:rsidR="00E644D1" w:rsidRPr="00B1179D" w:rsidRDefault="00E644D1" w:rsidP="006C72FE">
            <w:pPr>
              <w:rPr>
                <w:rFonts w:eastAsia="Times New Roman"/>
                <w:b/>
                <w:szCs w:val="20"/>
                <w:lang w:eastAsia="en-US"/>
              </w:rPr>
            </w:pPr>
            <w:r w:rsidRPr="00B1179D">
              <w:rPr>
                <w:rFonts w:eastAsia="Times New Roman"/>
                <w:b/>
                <w:szCs w:val="20"/>
                <w:lang w:eastAsia="en-US"/>
              </w:rPr>
              <w:t>1.</w:t>
            </w:r>
            <w:r>
              <w:rPr>
                <w:rFonts w:eastAsia="Times New Roman"/>
                <w:b/>
                <w:szCs w:val="20"/>
                <w:lang w:eastAsia="en-US"/>
              </w:rPr>
              <w:t>5</w:t>
            </w:r>
          </w:p>
        </w:tc>
        <w:tc>
          <w:tcPr>
            <w:tcW w:w="2443" w:type="dxa"/>
            <w:tcBorders>
              <w:top w:val="nil"/>
              <w:left w:val="nil"/>
              <w:bottom w:val="nil"/>
              <w:right w:val="nil"/>
            </w:tcBorders>
          </w:tcPr>
          <w:p w14:paraId="02055469" w14:textId="77777777" w:rsidR="00E644D1" w:rsidRPr="002F07F8" w:rsidRDefault="00E644D1" w:rsidP="002F07F8">
            <w:pPr>
              <w:rPr>
                <w:b/>
                <w:bCs/>
                <w:lang w:eastAsia="en-US"/>
              </w:rPr>
            </w:pPr>
            <w:r w:rsidRPr="002F07F8">
              <w:rPr>
                <w:b/>
                <w:bCs/>
                <w:lang w:eastAsia="en-US"/>
              </w:rPr>
              <w:t>Melting point</w:t>
            </w:r>
          </w:p>
        </w:tc>
        <w:tc>
          <w:tcPr>
            <w:tcW w:w="6206" w:type="dxa"/>
            <w:tcBorders>
              <w:top w:val="nil"/>
              <w:left w:val="nil"/>
              <w:bottom w:val="nil"/>
              <w:right w:val="nil"/>
            </w:tcBorders>
          </w:tcPr>
          <w:p w14:paraId="2183F918" w14:textId="77777777" w:rsidR="00E644D1" w:rsidRPr="00B1179D" w:rsidRDefault="00E644D1" w:rsidP="006C72FE">
            <w:pPr>
              <w:rPr>
                <w:rFonts w:eastAsia="Times New Roman"/>
                <w:szCs w:val="20"/>
                <w:lang w:eastAsia="en-US"/>
              </w:rPr>
            </w:pPr>
            <w:r>
              <w:rPr>
                <w:rFonts w:eastAsia="Times New Roman"/>
                <w:szCs w:val="20"/>
                <w:lang w:eastAsia="en-US"/>
              </w:rPr>
              <w:t>Melting point: -39</w:t>
            </w:r>
            <w:r w:rsidR="00980996">
              <w:rPr>
                <w:rFonts w:eastAsia="Times New Roman"/>
                <w:szCs w:val="20"/>
                <w:lang w:eastAsia="en-US"/>
              </w:rPr>
              <w:sym w:font="Symbol" w:char="F0B0"/>
            </w:r>
            <w:r>
              <w:rPr>
                <w:rFonts w:eastAsia="Times New Roman"/>
                <w:szCs w:val="20"/>
                <w:lang w:eastAsia="en-US"/>
              </w:rPr>
              <w:t>C (at 101 325 Pa)</w:t>
            </w:r>
          </w:p>
        </w:tc>
      </w:tr>
      <w:tr w:rsidR="00E644D1" w14:paraId="5A2C859F" w14:textId="77777777" w:rsidTr="006C72FE">
        <w:tc>
          <w:tcPr>
            <w:tcW w:w="707" w:type="dxa"/>
            <w:tcBorders>
              <w:top w:val="nil"/>
              <w:left w:val="nil"/>
              <w:bottom w:val="nil"/>
              <w:right w:val="nil"/>
            </w:tcBorders>
          </w:tcPr>
          <w:p w14:paraId="620080BC" w14:textId="77777777" w:rsidR="00E644D1" w:rsidRPr="00B1179D" w:rsidRDefault="00E644D1" w:rsidP="006C72FE">
            <w:pPr>
              <w:rPr>
                <w:rFonts w:eastAsia="Times New Roman"/>
                <w:b/>
                <w:szCs w:val="20"/>
                <w:lang w:eastAsia="en-US"/>
              </w:rPr>
            </w:pPr>
            <w:r>
              <w:rPr>
                <w:rFonts w:eastAsia="Times New Roman"/>
                <w:b/>
                <w:szCs w:val="20"/>
                <w:lang w:eastAsia="en-US"/>
              </w:rPr>
              <w:t>1.6</w:t>
            </w:r>
          </w:p>
        </w:tc>
        <w:tc>
          <w:tcPr>
            <w:tcW w:w="2443" w:type="dxa"/>
            <w:tcBorders>
              <w:top w:val="nil"/>
              <w:left w:val="nil"/>
              <w:bottom w:val="nil"/>
              <w:right w:val="nil"/>
            </w:tcBorders>
          </w:tcPr>
          <w:p w14:paraId="48578CCE" w14:textId="77777777" w:rsidR="00E644D1" w:rsidRPr="002F07F8" w:rsidRDefault="00E644D1" w:rsidP="002F07F8">
            <w:pPr>
              <w:rPr>
                <w:b/>
                <w:bCs/>
                <w:lang w:eastAsia="en-US"/>
              </w:rPr>
            </w:pPr>
            <w:r w:rsidRPr="002F07F8">
              <w:rPr>
                <w:b/>
                <w:bCs/>
                <w:lang w:eastAsia="en-US"/>
              </w:rPr>
              <w:t>Boiling point</w:t>
            </w:r>
          </w:p>
        </w:tc>
        <w:tc>
          <w:tcPr>
            <w:tcW w:w="6206" w:type="dxa"/>
            <w:tcBorders>
              <w:top w:val="nil"/>
              <w:left w:val="nil"/>
              <w:bottom w:val="nil"/>
              <w:right w:val="nil"/>
            </w:tcBorders>
          </w:tcPr>
          <w:p w14:paraId="61C192E0" w14:textId="77777777" w:rsidR="00E644D1" w:rsidRDefault="00E644D1" w:rsidP="006C72FE">
            <w:pPr>
              <w:rPr>
                <w:rFonts w:eastAsia="Times New Roman"/>
                <w:szCs w:val="20"/>
                <w:lang w:eastAsia="en-US"/>
              </w:rPr>
            </w:pPr>
            <w:r>
              <w:rPr>
                <w:rFonts w:eastAsia="Times New Roman"/>
                <w:szCs w:val="20"/>
                <w:lang w:eastAsia="en-US"/>
              </w:rPr>
              <w:t>Boiling point: 357</w:t>
            </w:r>
            <w:r w:rsidR="00980996">
              <w:rPr>
                <w:rFonts w:eastAsia="Times New Roman"/>
                <w:szCs w:val="20"/>
                <w:lang w:eastAsia="en-US"/>
              </w:rPr>
              <w:sym w:font="Symbol" w:char="F0B0"/>
            </w:r>
            <w:r>
              <w:rPr>
                <w:rFonts w:eastAsia="Times New Roman"/>
                <w:szCs w:val="20"/>
                <w:lang w:eastAsia="en-US"/>
              </w:rPr>
              <w:t>C (at 101 325 Pa)</w:t>
            </w:r>
          </w:p>
        </w:tc>
      </w:tr>
      <w:tr w:rsidR="00E644D1" w:rsidRPr="00B1179D" w14:paraId="37C15F69" w14:textId="77777777" w:rsidTr="006C72FE">
        <w:tc>
          <w:tcPr>
            <w:tcW w:w="707" w:type="dxa"/>
            <w:tcBorders>
              <w:top w:val="nil"/>
              <w:left w:val="nil"/>
              <w:bottom w:val="nil"/>
              <w:right w:val="nil"/>
            </w:tcBorders>
          </w:tcPr>
          <w:p w14:paraId="790F1454" w14:textId="77777777" w:rsidR="00E644D1" w:rsidRPr="00B1179D" w:rsidRDefault="00E644D1" w:rsidP="006C72FE">
            <w:pPr>
              <w:rPr>
                <w:rFonts w:eastAsia="Times New Roman"/>
                <w:b/>
                <w:szCs w:val="20"/>
                <w:lang w:eastAsia="en-US"/>
              </w:rPr>
            </w:pPr>
            <w:r w:rsidRPr="00B1179D">
              <w:rPr>
                <w:rFonts w:eastAsia="Times New Roman"/>
                <w:b/>
                <w:szCs w:val="20"/>
                <w:lang w:eastAsia="en-US"/>
              </w:rPr>
              <w:t>1.</w:t>
            </w:r>
            <w:r>
              <w:rPr>
                <w:rFonts w:eastAsia="Times New Roman"/>
                <w:b/>
                <w:szCs w:val="20"/>
                <w:lang w:eastAsia="en-US"/>
              </w:rPr>
              <w:t>7</w:t>
            </w:r>
          </w:p>
        </w:tc>
        <w:tc>
          <w:tcPr>
            <w:tcW w:w="2443" w:type="dxa"/>
            <w:tcBorders>
              <w:top w:val="nil"/>
              <w:left w:val="nil"/>
              <w:bottom w:val="nil"/>
              <w:right w:val="nil"/>
            </w:tcBorders>
          </w:tcPr>
          <w:p w14:paraId="528BC61D" w14:textId="77777777" w:rsidR="00E644D1" w:rsidRPr="002F07F8" w:rsidRDefault="00E644D1" w:rsidP="002F07F8">
            <w:pPr>
              <w:rPr>
                <w:b/>
                <w:bCs/>
                <w:lang w:eastAsia="en-US"/>
              </w:rPr>
            </w:pPr>
            <w:r w:rsidRPr="002F07F8">
              <w:rPr>
                <w:b/>
                <w:bCs/>
                <w:lang w:eastAsia="en-US"/>
              </w:rPr>
              <w:t>Density</w:t>
            </w:r>
          </w:p>
        </w:tc>
        <w:tc>
          <w:tcPr>
            <w:tcW w:w="6206" w:type="dxa"/>
            <w:tcBorders>
              <w:top w:val="nil"/>
              <w:left w:val="nil"/>
              <w:bottom w:val="nil"/>
              <w:right w:val="nil"/>
            </w:tcBorders>
          </w:tcPr>
          <w:p w14:paraId="573C1A14" w14:textId="77777777" w:rsidR="00E644D1" w:rsidRPr="00B1179D" w:rsidRDefault="00E644D1" w:rsidP="006C72FE">
            <w:pPr>
              <w:rPr>
                <w:rFonts w:eastAsia="Times New Roman"/>
                <w:szCs w:val="20"/>
                <w:lang w:eastAsia="en-US"/>
              </w:rPr>
            </w:pPr>
            <w:r>
              <w:rPr>
                <w:rFonts w:eastAsia="Times New Roman"/>
                <w:szCs w:val="20"/>
                <w:lang w:eastAsia="en-US"/>
              </w:rPr>
              <w:t>13</w:t>
            </w:r>
            <w:r w:rsidR="00980996">
              <w:rPr>
                <w:rFonts w:eastAsia="Times New Roman"/>
                <w:szCs w:val="20"/>
                <w:lang w:eastAsia="en-US"/>
              </w:rPr>
              <w:t>.</w:t>
            </w:r>
            <w:r>
              <w:rPr>
                <w:rFonts w:eastAsia="Times New Roman"/>
                <w:szCs w:val="20"/>
                <w:lang w:eastAsia="en-US"/>
              </w:rPr>
              <w:t>5 g/cm</w:t>
            </w:r>
            <w:r w:rsidRPr="001A36D6">
              <w:rPr>
                <w:rFonts w:eastAsia="Times New Roman"/>
                <w:szCs w:val="20"/>
                <w:vertAlign w:val="superscript"/>
                <w:lang w:eastAsia="en-US"/>
              </w:rPr>
              <w:t>3</w:t>
            </w:r>
            <w:r w:rsidR="00980996">
              <w:t xml:space="preserve"> </w:t>
            </w:r>
            <w:r w:rsidR="00980996" w:rsidRPr="00980996">
              <w:rPr>
                <w:rFonts w:eastAsia="Times New Roman"/>
                <w:szCs w:val="20"/>
                <w:lang w:eastAsia="en-US"/>
              </w:rPr>
              <w:t>at 25</w:t>
            </w:r>
            <w:r w:rsidR="00980996">
              <w:rPr>
                <w:rFonts w:eastAsia="Times New Roman"/>
                <w:szCs w:val="20"/>
                <w:lang w:eastAsia="en-US"/>
              </w:rPr>
              <w:sym w:font="Symbol" w:char="F0B0"/>
            </w:r>
            <w:r w:rsidR="00980996" w:rsidRPr="00980996">
              <w:rPr>
                <w:rFonts w:eastAsia="Times New Roman"/>
                <w:szCs w:val="20"/>
                <w:lang w:eastAsia="en-US"/>
              </w:rPr>
              <w:t>C</w:t>
            </w:r>
          </w:p>
        </w:tc>
      </w:tr>
      <w:tr w:rsidR="00E644D1" w14:paraId="677E79BD" w14:textId="77777777" w:rsidTr="006C72FE">
        <w:tc>
          <w:tcPr>
            <w:tcW w:w="707" w:type="dxa"/>
            <w:tcBorders>
              <w:top w:val="nil"/>
              <w:left w:val="nil"/>
              <w:bottom w:val="nil"/>
              <w:right w:val="nil"/>
            </w:tcBorders>
          </w:tcPr>
          <w:p w14:paraId="10761970" w14:textId="77777777" w:rsidR="00E644D1" w:rsidRPr="00B1179D" w:rsidRDefault="00980996" w:rsidP="006C72FE">
            <w:pPr>
              <w:rPr>
                <w:rFonts w:eastAsia="Times New Roman"/>
                <w:b/>
                <w:szCs w:val="20"/>
                <w:lang w:eastAsia="en-US"/>
              </w:rPr>
            </w:pPr>
            <w:r>
              <w:rPr>
                <w:rFonts w:eastAsia="Times New Roman"/>
                <w:b/>
                <w:szCs w:val="20"/>
                <w:lang w:eastAsia="en-US"/>
              </w:rPr>
              <w:t>1.8</w:t>
            </w:r>
          </w:p>
        </w:tc>
        <w:tc>
          <w:tcPr>
            <w:tcW w:w="2443" w:type="dxa"/>
            <w:tcBorders>
              <w:top w:val="nil"/>
              <w:left w:val="nil"/>
              <w:bottom w:val="nil"/>
              <w:right w:val="nil"/>
            </w:tcBorders>
          </w:tcPr>
          <w:p w14:paraId="1DBA8C72" w14:textId="77777777" w:rsidR="00E644D1" w:rsidRPr="002F07F8" w:rsidRDefault="00E644D1" w:rsidP="002F07F8">
            <w:pPr>
              <w:rPr>
                <w:b/>
                <w:bCs/>
                <w:lang w:eastAsia="en-US"/>
              </w:rPr>
            </w:pPr>
            <w:r w:rsidRPr="002F07F8">
              <w:rPr>
                <w:b/>
                <w:bCs/>
                <w:lang w:eastAsia="en-US"/>
              </w:rPr>
              <w:t>Solubility in water</w:t>
            </w:r>
          </w:p>
        </w:tc>
        <w:tc>
          <w:tcPr>
            <w:tcW w:w="6206" w:type="dxa"/>
            <w:tcBorders>
              <w:top w:val="nil"/>
              <w:left w:val="nil"/>
              <w:bottom w:val="nil"/>
              <w:right w:val="nil"/>
            </w:tcBorders>
          </w:tcPr>
          <w:p w14:paraId="18AAB214" w14:textId="77777777" w:rsidR="00E644D1" w:rsidRDefault="00E644D1" w:rsidP="006C72FE">
            <w:pPr>
              <w:rPr>
                <w:rFonts w:eastAsia="Times New Roman"/>
                <w:szCs w:val="20"/>
                <w:lang w:eastAsia="en-US"/>
              </w:rPr>
            </w:pPr>
            <w:r>
              <w:rPr>
                <w:rFonts w:eastAsia="Times New Roman"/>
                <w:szCs w:val="20"/>
                <w:lang w:eastAsia="en-US"/>
              </w:rPr>
              <w:t>none</w:t>
            </w:r>
          </w:p>
        </w:tc>
      </w:tr>
      <w:tr w:rsidR="00E644D1" w:rsidRPr="00B1179D" w14:paraId="41B40BB1" w14:textId="77777777" w:rsidTr="006C72FE">
        <w:tc>
          <w:tcPr>
            <w:tcW w:w="707" w:type="dxa"/>
            <w:tcBorders>
              <w:top w:val="nil"/>
              <w:left w:val="nil"/>
              <w:bottom w:val="nil"/>
              <w:right w:val="nil"/>
            </w:tcBorders>
          </w:tcPr>
          <w:p w14:paraId="7A1124A5" w14:textId="77777777" w:rsidR="00E644D1" w:rsidRPr="00B1179D" w:rsidRDefault="00E644D1" w:rsidP="006C72FE">
            <w:pPr>
              <w:rPr>
                <w:rFonts w:eastAsia="Times New Roman"/>
                <w:b/>
                <w:szCs w:val="20"/>
                <w:lang w:eastAsia="en-US"/>
              </w:rPr>
            </w:pPr>
            <w:r w:rsidRPr="00B1179D">
              <w:rPr>
                <w:rFonts w:eastAsia="Times New Roman"/>
                <w:b/>
                <w:szCs w:val="20"/>
                <w:lang w:eastAsia="en-US"/>
              </w:rPr>
              <w:t>1.</w:t>
            </w:r>
            <w:r w:rsidR="00F16A88">
              <w:rPr>
                <w:rFonts w:eastAsia="Times New Roman"/>
                <w:b/>
                <w:szCs w:val="20"/>
                <w:lang w:eastAsia="en-US"/>
              </w:rPr>
              <w:t>9</w:t>
            </w:r>
          </w:p>
        </w:tc>
        <w:tc>
          <w:tcPr>
            <w:tcW w:w="2443" w:type="dxa"/>
            <w:tcBorders>
              <w:top w:val="nil"/>
              <w:left w:val="nil"/>
              <w:bottom w:val="nil"/>
              <w:right w:val="nil"/>
            </w:tcBorders>
          </w:tcPr>
          <w:p w14:paraId="7EB7B7BD" w14:textId="77777777" w:rsidR="00E644D1" w:rsidRPr="002F07F8" w:rsidRDefault="00D609EE" w:rsidP="002F07F8">
            <w:pPr>
              <w:rPr>
                <w:b/>
                <w:bCs/>
                <w:lang w:eastAsia="en-US"/>
              </w:rPr>
            </w:pPr>
            <w:r>
              <w:rPr>
                <w:b/>
                <w:bCs/>
                <w:lang w:eastAsia="en-US"/>
              </w:rPr>
              <w:t>Vapour</w:t>
            </w:r>
            <w:r w:rsidR="00E644D1" w:rsidRPr="002F07F8">
              <w:rPr>
                <w:b/>
                <w:bCs/>
                <w:lang w:eastAsia="en-US"/>
              </w:rPr>
              <w:t xml:space="preserve"> density</w:t>
            </w:r>
          </w:p>
        </w:tc>
        <w:tc>
          <w:tcPr>
            <w:tcW w:w="6206" w:type="dxa"/>
            <w:tcBorders>
              <w:top w:val="nil"/>
              <w:left w:val="nil"/>
              <w:bottom w:val="nil"/>
              <w:right w:val="nil"/>
            </w:tcBorders>
          </w:tcPr>
          <w:p w14:paraId="6910B9C8" w14:textId="77777777" w:rsidR="00E644D1" w:rsidRPr="00B1179D" w:rsidRDefault="00E644D1" w:rsidP="006C72FE">
            <w:pPr>
              <w:rPr>
                <w:rFonts w:eastAsia="Times New Roman"/>
                <w:szCs w:val="20"/>
                <w:lang w:eastAsia="en-US"/>
              </w:rPr>
            </w:pPr>
            <w:r>
              <w:rPr>
                <w:rFonts w:eastAsia="Times New Roman"/>
                <w:szCs w:val="20"/>
                <w:lang w:eastAsia="en-US"/>
              </w:rPr>
              <w:t>(air=1) 6.93</w:t>
            </w:r>
          </w:p>
        </w:tc>
      </w:tr>
      <w:tr w:rsidR="00E644D1" w14:paraId="3DE1A30C" w14:textId="77777777" w:rsidTr="006C72FE">
        <w:tc>
          <w:tcPr>
            <w:tcW w:w="707" w:type="dxa"/>
            <w:tcBorders>
              <w:top w:val="nil"/>
              <w:left w:val="nil"/>
              <w:bottom w:val="nil"/>
              <w:right w:val="nil"/>
            </w:tcBorders>
          </w:tcPr>
          <w:p w14:paraId="33315D91" w14:textId="77777777" w:rsidR="00E644D1" w:rsidRPr="00B1179D" w:rsidRDefault="00F16A88" w:rsidP="006C72FE">
            <w:pPr>
              <w:rPr>
                <w:rFonts w:eastAsia="Times New Roman"/>
                <w:b/>
                <w:szCs w:val="20"/>
                <w:lang w:eastAsia="en-US"/>
              </w:rPr>
            </w:pPr>
            <w:r>
              <w:rPr>
                <w:rFonts w:eastAsia="Times New Roman"/>
                <w:b/>
                <w:szCs w:val="20"/>
                <w:lang w:eastAsia="en-US"/>
              </w:rPr>
              <w:t>1.10</w:t>
            </w:r>
          </w:p>
        </w:tc>
        <w:tc>
          <w:tcPr>
            <w:tcW w:w="2443" w:type="dxa"/>
            <w:tcBorders>
              <w:top w:val="nil"/>
              <w:left w:val="nil"/>
              <w:bottom w:val="nil"/>
              <w:right w:val="nil"/>
            </w:tcBorders>
          </w:tcPr>
          <w:p w14:paraId="07DF5C78" w14:textId="77777777" w:rsidR="00E644D1" w:rsidRPr="002F07F8" w:rsidRDefault="00D609EE" w:rsidP="002F07F8">
            <w:pPr>
              <w:rPr>
                <w:b/>
                <w:bCs/>
                <w:lang w:eastAsia="en-US"/>
              </w:rPr>
            </w:pPr>
            <w:r>
              <w:rPr>
                <w:b/>
                <w:bCs/>
                <w:lang w:eastAsia="en-US"/>
              </w:rPr>
              <w:t>Vapour</w:t>
            </w:r>
            <w:r w:rsidR="00E644D1" w:rsidRPr="002F07F8">
              <w:rPr>
                <w:b/>
                <w:bCs/>
                <w:lang w:eastAsia="en-US"/>
              </w:rPr>
              <w:t xml:space="preserve"> pressure</w:t>
            </w:r>
          </w:p>
        </w:tc>
        <w:tc>
          <w:tcPr>
            <w:tcW w:w="6206" w:type="dxa"/>
            <w:tcBorders>
              <w:top w:val="nil"/>
              <w:left w:val="nil"/>
              <w:bottom w:val="nil"/>
              <w:right w:val="nil"/>
            </w:tcBorders>
          </w:tcPr>
          <w:p w14:paraId="1EEB2470" w14:textId="77777777" w:rsidR="00E644D1" w:rsidRDefault="00E644D1" w:rsidP="006C72FE">
            <w:pPr>
              <w:rPr>
                <w:rFonts w:eastAsia="Times New Roman"/>
                <w:szCs w:val="20"/>
                <w:lang w:eastAsia="en-US"/>
              </w:rPr>
            </w:pPr>
            <w:r>
              <w:rPr>
                <w:rFonts w:eastAsia="Times New Roman"/>
                <w:szCs w:val="20"/>
                <w:lang w:eastAsia="en-US"/>
              </w:rPr>
              <w:t>0.26 Pa at 20C</w:t>
            </w:r>
          </w:p>
        </w:tc>
      </w:tr>
      <w:tr w:rsidR="00E644D1" w:rsidRPr="00B1179D" w14:paraId="770FE7F9" w14:textId="77777777" w:rsidTr="006C72FE">
        <w:tc>
          <w:tcPr>
            <w:tcW w:w="707" w:type="dxa"/>
            <w:tcBorders>
              <w:top w:val="nil"/>
              <w:left w:val="nil"/>
              <w:bottom w:val="nil"/>
              <w:right w:val="nil"/>
            </w:tcBorders>
          </w:tcPr>
          <w:p w14:paraId="1438CC58" w14:textId="77777777" w:rsidR="00E644D1" w:rsidRPr="00B1179D" w:rsidRDefault="00E644D1" w:rsidP="006C72FE">
            <w:pPr>
              <w:rPr>
                <w:rFonts w:eastAsia="Times New Roman"/>
                <w:b/>
                <w:szCs w:val="20"/>
                <w:lang w:eastAsia="en-US"/>
              </w:rPr>
            </w:pPr>
            <w:r w:rsidRPr="00B1179D">
              <w:rPr>
                <w:rFonts w:eastAsia="Times New Roman"/>
                <w:b/>
                <w:szCs w:val="20"/>
                <w:lang w:eastAsia="en-US"/>
              </w:rPr>
              <w:t>1.</w:t>
            </w:r>
            <w:r w:rsidR="00F16A88">
              <w:rPr>
                <w:rFonts w:eastAsia="Times New Roman"/>
                <w:b/>
                <w:szCs w:val="20"/>
                <w:lang w:eastAsia="en-US"/>
              </w:rPr>
              <w:t>11</w:t>
            </w:r>
          </w:p>
        </w:tc>
        <w:tc>
          <w:tcPr>
            <w:tcW w:w="2443" w:type="dxa"/>
            <w:tcBorders>
              <w:top w:val="nil"/>
              <w:left w:val="nil"/>
              <w:bottom w:val="nil"/>
              <w:right w:val="nil"/>
            </w:tcBorders>
          </w:tcPr>
          <w:p w14:paraId="6203FC4C" w14:textId="77777777" w:rsidR="00E644D1" w:rsidRPr="002F07F8" w:rsidRDefault="00E644D1" w:rsidP="002F07F8">
            <w:pPr>
              <w:rPr>
                <w:b/>
                <w:bCs/>
                <w:lang w:eastAsia="en-US"/>
              </w:rPr>
            </w:pPr>
            <w:r w:rsidRPr="002F07F8">
              <w:rPr>
                <w:b/>
                <w:bCs/>
                <w:lang w:eastAsia="en-US"/>
              </w:rPr>
              <w:t>Viscosity</w:t>
            </w:r>
          </w:p>
        </w:tc>
        <w:tc>
          <w:tcPr>
            <w:tcW w:w="6206" w:type="dxa"/>
            <w:tcBorders>
              <w:top w:val="nil"/>
              <w:left w:val="nil"/>
              <w:bottom w:val="nil"/>
              <w:right w:val="nil"/>
            </w:tcBorders>
          </w:tcPr>
          <w:p w14:paraId="4DF2CF84" w14:textId="77777777" w:rsidR="00E644D1" w:rsidRPr="00B1179D" w:rsidRDefault="00E644D1" w:rsidP="006C72FE">
            <w:pPr>
              <w:rPr>
                <w:rFonts w:eastAsia="Times New Roman"/>
                <w:szCs w:val="20"/>
                <w:lang w:eastAsia="en-US"/>
              </w:rPr>
            </w:pPr>
            <w:r>
              <w:rPr>
                <w:rFonts w:eastAsia="Times New Roman"/>
                <w:szCs w:val="20"/>
                <w:lang w:eastAsia="en-US"/>
              </w:rPr>
              <w:t>1.55 mPa</w:t>
            </w:r>
            <w:r w:rsidR="00980996">
              <w:rPr>
                <w:rFonts w:eastAsia="Times New Roman"/>
                <w:szCs w:val="20"/>
                <w:lang w:eastAsia="en-US"/>
              </w:rPr>
              <w:t xml:space="preserve"> s</w:t>
            </w:r>
            <w:r>
              <w:rPr>
                <w:rFonts w:eastAsia="Times New Roman"/>
                <w:szCs w:val="20"/>
                <w:lang w:eastAsia="en-US"/>
              </w:rPr>
              <w:t xml:space="preserve"> at 20</w:t>
            </w:r>
            <w:r w:rsidR="00980996">
              <w:rPr>
                <w:rFonts w:eastAsia="Times New Roman"/>
                <w:szCs w:val="20"/>
                <w:lang w:eastAsia="en-US"/>
              </w:rPr>
              <w:sym w:font="Symbol" w:char="F0B0"/>
            </w:r>
            <w:r>
              <w:rPr>
                <w:rFonts w:eastAsia="Times New Roman"/>
                <w:szCs w:val="20"/>
                <w:lang w:eastAsia="en-US"/>
              </w:rPr>
              <w:t>C</w:t>
            </w:r>
          </w:p>
        </w:tc>
      </w:tr>
      <w:tr w:rsidR="00E644D1" w:rsidRPr="00B1179D" w14:paraId="3722E7AD" w14:textId="77777777" w:rsidTr="006C72FE">
        <w:tc>
          <w:tcPr>
            <w:tcW w:w="707" w:type="dxa"/>
            <w:tcBorders>
              <w:top w:val="nil"/>
              <w:left w:val="nil"/>
              <w:bottom w:val="nil"/>
              <w:right w:val="nil"/>
            </w:tcBorders>
          </w:tcPr>
          <w:p w14:paraId="38432050" w14:textId="77777777" w:rsidR="00E644D1" w:rsidRPr="00B1179D" w:rsidRDefault="00E644D1" w:rsidP="006C72FE">
            <w:pPr>
              <w:rPr>
                <w:rFonts w:eastAsia="Times New Roman"/>
                <w:b/>
                <w:szCs w:val="20"/>
                <w:lang w:eastAsia="en-US"/>
              </w:rPr>
            </w:pPr>
            <w:r w:rsidRPr="00B1179D">
              <w:rPr>
                <w:rFonts w:eastAsia="Times New Roman"/>
                <w:b/>
                <w:szCs w:val="20"/>
                <w:lang w:eastAsia="en-US"/>
              </w:rPr>
              <w:t>1.</w:t>
            </w:r>
            <w:r w:rsidR="00F16A88">
              <w:rPr>
                <w:rFonts w:eastAsia="Times New Roman"/>
                <w:b/>
                <w:szCs w:val="20"/>
                <w:lang w:eastAsia="en-US"/>
              </w:rPr>
              <w:t>12</w:t>
            </w:r>
          </w:p>
        </w:tc>
        <w:tc>
          <w:tcPr>
            <w:tcW w:w="2443" w:type="dxa"/>
            <w:tcBorders>
              <w:top w:val="nil"/>
              <w:left w:val="nil"/>
              <w:bottom w:val="nil"/>
              <w:right w:val="nil"/>
            </w:tcBorders>
          </w:tcPr>
          <w:p w14:paraId="023B636D" w14:textId="77777777" w:rsidR="00E644D1" w:rsidRPr="002F07F8" w:rsidRDefault="00E644D1" w:rsidP="002F07F8">
            <w:pPr>
              <w:rPr>
                <w:b/>
                <w:bCs/>
                <w:lang w:eastAsia="en-US"/>
              </w:rPr>
            </w:pPr>
            <w:r w:rsidRPr="002F07F8">
              <w:rPr>
                <w:b/>
                <w:bCs/>
                <w:lang w:eastAsia="en-US"/>
              </w:rPr>
              <w:t xml:space="preserve">Relative density </w:t>
            </w:r>
            <w:r w:rsidR="00D609EE">
              <w:rPr>
                <w:b/>
                <w:bCs/>
                <w:lang w:eastAsia="en-US"/>
              </w:rPr>
              <w:t>vapour</w:t>
            </w:r>
            <w:r w:rsidRPr="002F07F8">
              <w:rPr>
                <w:b/>
                <w:bCs/>
                <w:lang w:eastAsia="en-US"/>
              </w:rPr>
              <w:t>/air-mixture</w:t>
            </w:r>
          </w:p>
        </w:tc>
        <w:tc>
          <w:tcPr>
            <w:tcW w:w="6206" w:type="dxa"/>
            <w:tcBorders>
              <w:top w:val="nil"/>
              <w:left w:val="nil"/>
              <w:bottom w:val="nil"/>
              <w:right w:val="nil"/>
            </w:tcBorders>
          </w:tcPr>
          <w:p w14:paraId="3B61EF37" w14:textId="77777777" w:rsidR="00E644D1" w:rsidRPr="00B1179D" w:rsidRDefault="00E644D1" w:rsidP="006C72FE">
            <w:pPr>
              <w:rPr>
                <w:rFonts w:eastAsia="Times New Roman"/>
                <w:szCs w:val="20"/>
                <w:lang w:eastAsia="en-US"/>
              </w:rPr>
            </w:pPr>
            <w:r>
              <w:rPr>
                <w:rFonts w:eastAsia="Times New Roman"/>
                <w:szCs w:val="20"/>
                <w:lang w:eastAsia="en-US"/>
              </w:rPr>
              <w:t>1.009 (ait=1) at 20</w:t>
            </w:r>
            <w:r w:rsidR="00980996">
              <w:rPr>
                <w:rFonts w:eastAsia="Times New Roman"/>
                <w:szCs w:val="20"/>
                <w:lang w:eastAsia="en-US"/>
              </w:rPr>
              <w:sym w:font="Symbol" w:char="F0B0"/>
            </w:r>
            <w:r>
              <w:rPr>
                <w:rFonts w:eastAsia="Times New Roman"/>
                <w:szCs w:val="20"/>
                <w:lang w:eastAsia="en-US"/>
              </w:rPr>
              <w:t>C</w:t>
            </w:r>
          </w:p>
        </w:tc>
      </w:tr>
    </w:tbl>
    <w:p w14:paraId="511EA865" w14:textId="77777777" w:rsidR="00E644D1" w:rsidRDefault="00E644D1" w:rsidP="00E644D1">
      <w:pPr>
        <w:pStyle w:val="Heading2"/>
      </w:pPr>
      <w:bookmarkStart w:id="21" w:name="_Toc154010823"/>
      <w:r>
        <w:t>2</w:t>
      </w:r>
      <w:r w:rsidRPr="00E644D1">
        <w:t>.</w:t>
      </w:r>
      <w:r w:rsidRPr="00E644D1">
        <w:tab/>
        <w:t>Toxicological properties</w:t>
      </w:r>
      <w:bookmarkEnd w:id="21"/>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443"/>
        <w:gridCol w:w="6206"/>
      </w:tblGrid>
      <w:tr w:rsidR="00E644D1" w:rsidRPr="00B1179D" w14:paraId="7A946645" w14:textId="77777777" w:rsidTr="006C72FE">
        <w:tc>
          <w:tcPr>
            <w:tcW w:w="707" w:type="dxa"/>
            <w:tcBorders>
              <w:top w:val="nil"/>
              <w:left w:val="nil"/>
              <w:bottom w:val="nil"/>
              <w:right w:val="nil"/>
            </w:tcBorders>
          </w:tcPr>
          <w:p w14:paraId="202F0EA6" w14:textId="77777777" w:rsidR="00E644D1" w:rsidRPr="00B1179D" w:rsidRDefault="00E644D1" w:rsidP="006C72FE">
            <w:pPr>
              <w:rPr>
                <w:rFonts w:eastAsia="Times New Roman"/>
                <w:b/>
                <w:bCs/>
                <w:color w:val="000000"/>
                <w:szCs w:val="20"/>
                <w:lang w:eastAsia="en-US"/>
              </w:rPr>
            </w:pPr>
            <w:r w:rsidRPr="00B1179D">
              <w:rPr>
                <w:rFonts w:eastAsia="Times New Roman"/>
                <w:b/>
                <w:bCs/>
                <w:color w:val="000000"/>
                <w:szCs w:val="20"/>
                <w:lang w:eastAsia="en-US"/>
              </w:rPr>
              <w:t>2.1</w:t>
            </w:r>
          </w:p>
        </w:tc>
        <w:tc>
          <w:tcPr>
            <w:tcW w:w="2443" w:type="dxa"/>
            <w:tcBorders>
              <w:top w:val="nil"/>
              <w:left w:val="nil"/>
              <w:bottom w:val="nil"/>
              <w:right w:val="nil"/>
            </w:tcBorders>
          </w:tcPr>
          <w:p w14:paraId="4851B59E" w14:textId="77777777" w:rsidR="00E644D1" w:rsidRPr="002F6BCC" w:rsidRDefault="00E644D1" w:rsidP="002F6BCC">
            <w:pPr>
              <w:rPr>
                <w:b/>
                <w:bCs/>
                <w:lang w:eastAsia="en-US"/>
              </w:rPr>
            </w:pPr>
            <w:r w:rsidRPr="002F6BCC">
              <w:rPr>
                <w:b/>
                <w:bCs/>
                <w:lang w:eastAsia="en-US"/>
              </w:rPr>
              <w:t xml:space="preserve">General </w:t>
            </w:r>
          </w:p>
        </w:tc>
        <w:tc>
          <w:tcPr>
            <w:tcW w:w="6206" w:type="dxa"/>
            <w:tcBorders>
              <w:top w:val="nil"/>
              <w:left w:val="nil"/>
              <w:bottom w:val="nil"/>
              <w:right w:val="nil"/>
            </w:tcBorders>
          </w:tcPr>
          <w:p w14:paraId="01B15AE6" w14:textId="77777777" w:rsidR="00E644D1" w:rsidRPr="00EE1026" w:rsidRDefault="00E644D1" w:rsidP="006C72FE">
            <w:pPr>
              <w:spacing w:line="183" w:lineRule="exact"/>
              <w:ind w:left="-14" w:right="216"/>
              <w:textAlignment w:val="baseline"/>
              <w:rPr>
                <w:rFonts w:eastAsia="Times New Roman"/>
                <w:b/>
                <w:bCs/>
                <w:kern w:val="28"/>
                <w:szCs w:val="20"/>
                <w:lang w:eastAsia="en-US"/>
              </w:rPr>
            </w:pPr>
            <w:r w:rsidRPr="00EE1026">
              <w:rPr>
                <w:rFonts w:eastAsia="Times New Roman"/>
                <w:b/>
                <w:bCs/>
                <w:kern w:val="28"/>
                <w:szCs w:val="20"/>
                <w:lang w:eastAsia="en-US"/>
              </w:rPr>
              <w:t>European Union</w:t>
            </w:r>
          </w:p>
          <w:p w14:paraId="0BF8DDA2" w14:textId="77777777" w:rsidR="00E644D1" w:rsidRPr="00D56CA7" w:rsidRDefault="00E644D1" w:rsidP="006C72FE">
            <w:pPr>
              <w:rPr>
                <w:lang w:eastAsia="en-US"/>
              </w:rPr>
            </w:pPr>
            <w:r w:rsidRPr="00D56CA7">
              <w:rPr>
                <w:lang w:eastAsia="en-US"/>
              </w:rPr>
              <w:t>Mercury is a chemical of global concern owing to its long-range atmospheric transport, its persistence in the environment once anthropogenically introduced, its ability to bioaccumulate in ecosystems and its significant negative effects on human health, which include significant adverse neurological and other health effects, with particular concerns expressed about its harmful effects on infants and unborn children.</w:t>
            </w:r>
          </w:p>
          <w:p w14:paraId="655B4C8B" w14:textId="77777777" w:rsidR="00E644D1" w:rsidRPr="00B1179D" w:rsidRDefault="00E644D1" w:rsidP="006C72FE">
            <w:pPr>
              <w:rPr>
                <w:lang w:eastAsia="en-US"/>
              </w:rPr>
            </w:pPr>
            <w:r w:rsidRPr="00D56CA7">
              <w:rPr>
                <w:lang w:eastAsia="en-US"/>
              </w:rPr>
              <w:t>Mercury can be transformed</w:t>
            </w:r>
            <w:r w:rsidRPr="00D56CA7">
              <w:rPr>
                <w:rFonts w:eastAsia="Arial"/>
                <w:color w:val="000000"/>
                <w:lang w:val="en-US"/>
              </w:rPr>
              <w:t xml:space="preserve"> to methylmercury, the most toxic form, which biomagnifies especially in the aquatic food chain, making populations and wildlife with a high intake of fish and seafood</w:t>
            </w:r>
            <w:r w:rsidR="00D6499F">
              <w:rPr>
                <w:rFonts w:eastAsia="Arial"/>
                <w:color w:val="000000"/>
                <w:lang w:val="en-US"/>
              </w:rPr>
              <w:t>.</w:t>
            </w:r>
            <w:r w:rsidRPr="00D56CA7">
              <w:rPr>
                <w:rFonts w:eastAsia="Arial"/>
                <w:color w:val="000000"/>
                <w:lang w:val="en-US"/>
              </w:rPr>
              <w:t xml:space="preserve"> </w:t>
            </w:r>
          </w:p>
        </w:tc>
      </w:tr>
      <w:tr w:rsidR="00E644D1" w:rsidRPr="00B1179D" w14:paraId="512A29AF" w14:textId="77777777" w:rsidTr="006C72FE">
        <w:tc>
          <w:tcPr>
            <w:tcW w:w="707" w:type="dxa"/>
            <w:tcBorders>
              <w:top w:val="nil"/>
              <w:left w:val="nil"/>
              <w:bottom w:val="nil"/>
              <w:right w:val="nil"/>
            </w:tcBorders>
          </w:tcPr>
          <w:p w14:paraId="2A246AAA" w14:textId="77777777" w:rsidR="00E644D1" w:rsidRPr="00B1179D" w:rsidRDefault="00E644D1" w:rsidP="006C72FE">
            <w:pPr>
              <w:rPr>
                <w:rFonts w:eastAsia="Times New Roman"/>
                <w:b/>
                <w:szCs w:val="20"/>
                <w:lang w:eastAsia="en-US"/>
              </w:rPr>
            </w:pPr>
            <w:r w:rsidRPr="00B1179D">
              <w:rPr>
                <w:rFonts w:eastAsia="Times New Roman"/>
                <w:b/>
                <w:szCs w:val="20"/>
                <w:lang w:eastAsia="en-US"/>
              </w:rPr>
              <w:t>2.1.1</w:t>
            </w:r>
          </w:p>
        </w:tc>
        <w:tc>
          <w:tcPr>
            <w:tcW w:w="2443" w:type="dxa"/>
            <w:tcBorders>
              <w:top w:val="nil"/>
              <w:left w:val="nil"/>
              <w:bottom w:val="nil"/>
              <w:right w:val="nil"/>
            </w:tcBorders>
          </w:tcPr>
          <w:p w14:paraId="521CD080" w14:textId="77777777" w:rsidR="00E644D1" w:rsidRPr="002F6BCC" w:rsidRDefault="00E644D1" w:rsidP="002F6BCC">
            <w:pPr>
              <w:rPr>
                <w:b/>
                <w:bCs/>
                <w:lang w:eastAsia="en-US"/>
              </w:rPr>
            </w:pPr>
            <w:r w:rsidRPr="002F6BCC">
              <w:rPr>
                <w:b/>
                <w:bCs/>
                <w:lang w:eastAsia="en-US"/>
              </w:rPr>
              <w:t>Mode of Action</w:t>
            </w:r>
          </w:p>
        </w:tc>
        <w:tc>
          <w:tcPr>
            <w:tcW w:w="6206" w:type="dxa"/>
            <w:tcBorders>
              <w:top w:val="nil"/>
              <w:left w:val="nil"/>
              <w:bottom w:val="nil"/>
              <w:right w:val="nil"/>
            </w:tcBorders>
          </w:tcPr>
          <w:p w14:paraId="3677A90D" w14:textId="77777777" w:rsidR="00E644D1" w:rsidRPr="00EE1026" w:rsidRDefault="00E644D1" w:rsidP="006C72FE">
            <w:pPr>
              <w:spacing w:line="183" w:lineRule="exact"/>
              <w:ind w:right="216"/>
              <w:textAlignment w:val="baseline"/>
              <w:rPr>
                <w:rFonts w:eastAsia="Times New Roman"/>
                <w:b/>
                <w:bCs/>
                <w:kern w:val="28"/>
                <w:szCs w:val="20"/>
                <w:lang w:eastAsia="en-US"/>
              </w:rPr>
            </w:pPr>
            <w:r w:rsidRPr="00EE1026">
              <w:rPr>
                <w:rFonts w:eastAsia="Times New Roman"/>
                <w:b/>
                <w:bCs/>
                <w:kern w:val="28"/>
                <w:szCs w:val="20"/>
                <w:lang w:eastAsia="en-US"/>
              </w:rPr>
              <w:t>European Union</w:t>
            </w:r>
          </w:p>
          <w:p w14:paraId="279D1671" w14:textId="77777777" w:rsidR="00E644D1" w:rsidRPr="002C791B" w:rsidRDefault="00E644D1" w:rsidP="006C72FE">
            <w:pPr>
              <w:rPr>
                <w:rFonts w:ascii="Arial" w:hAnsi="Arial"/>
                <w:sz w:val="16"/>
              </w:rPr>
            </w:pPr>
            <w:r w:rsidRPr="00F65D1A">
              <w:rPr>
                <w:lang w:val="en-US"/>
              </w:rPr>
              <w:t xml:space="preserve">Elemental mercury is very toxic to humans via inhalation. About 80 percent of inhaled </w:t>
            </w:r>
            <w:proofErr w:type="spellStart"/>
            <w:r w:rsidRPr="00F65D1A">
              <w:rPr>
                <w:lang w:val="en-US"/>
              </w:rPr>
              <w:t>vapours</w:t>
            </w:r>
            <w:proofErr w:type="spellEnd"/>
            <w:r w:rsidRPr="00F65D1A">
              <w:rPr>
                <w:lang w:val="en-US"/>
              </w:rPr>
              <w:t xml:space="preserve"> are absorbed by the lung tissues. This </w:t>
            </w:r>
            <w:proofErr w:type="spellStart"/>
            <w:r w:rsidRPr="00F65D1A">
              <w:rPr>
                <w:lang w:val="en-US"/>
              </w:rPr>
              <w:t>vapour</w:t>
            </w:r>
            <w:proofErr w:type="spellEnd"/>
            <w:r w:rsidRPr="00F65D1A">
              <w:rPr>
                <w:lang w:val="en-US"/>
              </w:rPr>
              <w:t xml:space="preserve"> easily penetrates the blood-brain barrier and is a </w:t>
            </w:r>
            <w:proofErr w:type="spellStart"/>
            <w:r w:rsidRPr="00F65D1A">
              <w:rPr>
                <w:lang w:val="en-US"/>
              </w:rPr>
              <w:t>well documented</w:t>
            </w:r>
            <w:proofErr w:type="spellEnd"/>
            <w:r w:rsidRPr="00F65D1A">
              <w:rPr>
                <w:lang w:val="en-US"/>
              </w:rPr>
              <w:t xml:space="preserve"> neurotoxicant causing neurological and </w:t>
            </w:r>
            <w:proofErr w:type="spellStart"/>
            <w:r w:rsidRPr="00F65D1A">
              <w:rPr>
                <w:lang w:val="en-US"/>
              </w:rPr>
              <w:t>behavioural</w:t>
            </w:r>
            <w:proofErr w:type="spellEnd"/>
            <w:r w:rsidRPr="00F65D1A">
              <w:rPr>
                <w:lang w:val="en-US"/>
              </w:rPr>
              <w:t xml:space="preserve"> disorders in humans when inhaled. Specific symptoms include tremors, emotional lability, insomnia, memory loss, neuromuscular changes, and headaches. Intestinal </w:t>
            </w:r>
            <w:r w:rsidRPr="00F65D1A">
              <w:rPr>
                <w:lang w:val="en-US"/>
              </w:rPr>
              <w:lastRenderedPageBreak/>
              <w:t>absorption of elemental mercury is low</w:t>
            </w:r>
            <w:r>
              <w:rPr>
                <w:rFonts w:ascii="Arial" w:hAnsi="Arial"/>
                <w:sz w:val="16"/>
                <w:lang w:val="en-US"/>
              </w:rPr>
              <w:t>.</w:t>
            </w:r>
          </w:p>
          <w:p w14:paraId="5072A1CD" w14:textId="77777777" w:rsidR="00E644D1" w:rsidRPr="00EE1026" w:rsidRDefault="00E644D1" w:rsidP="006C72FE">
            <w:pPr>
              <w:spacing w:line="183" w:lineRule="exact"/>
              <w:ind w:right="216"/>
              <w:textAlignment w:val="baseline"/>
              <w:rPr>
                <w:rFonts w:eastAsia="Times New Roman"/>
                <w:b/>
                <w:bCs/>
                <w:kern w:val="28"/>
                <w:szCs w:val="20"/>
                <w:lang w:eastAsia="en-US"/>
              </w:rPr>
            </w:pPr>
            <w:r w:rsidRPr="00EE1026">
              <w:rPr>
                <w:rFonts w:eastAsia="Times New Roman"/>
                <w:b/>
                <w:bCs/>
                <w:kern w:val="28"/>
                <w:szCs w:val="20"/>
                <w:lang w:eastAsia="en-US"/>
              </w:rPr>
              <w:t>WHO (2003)</w:t>
            </w:r>
          </w:p>
          <w:p w14:paraId="58B60A84" w14:textId="77777777" w:rsidR="00E644D1" w:rsidRDefault="00E644D1" w:rsidP="006C72FE">
            <w:pPr>
              <w:rPr>
                <w:lang w:eastAsia="en-US"/>
              </w:rPr>
            </w:pPr>
            <w:r w:rsidRPr="00D56CA7">
              <w:rPr>
                <w:lang w:eastAsia="en-US"/>
              </w:rPr>
              <w:t>At high levels of exposure, elemental mercury induces adverse effects in most organ systems in the body. Respiratory failure, cardiac arrest, and cerebral oedema are the causes of death in fatal cases.</w:t>
            </w:r>
          </w:p>
          <w:p w14:paraId="5ABE4A03" w14:textId="77777777" w:rsidR="00E644D1" w:rsidRPr="00B1179D" w:rsidRDefault="00E644D1" w:rsidP="006C72FE">
            <w:pPr>
              <w:rPr>
                <w:lang w:eastAsia="en-US"/>
              </w:rPr>
            </w:pPr>
            <w:r w:rsidRPr="00D56CA7">
              <w:rPr>
                <w:lang w:eastAsia="en-US"/>
              </w:rPr>
              <w:t>The central nervous system is the most sensitive target for elemental mercury vapour exposure. Similar effects are seen following all durations of exposure, but their severity increases as exposure duration and/or concentration increase.</w:t>
            </w:r>
            <w:r>
              <w:t xml:space="preserve"> </w:t>
            </w:r>
            <w:r w:rsidRPr="00D56CA7">
              <w:rPr>
                <w:lang w:eastAsia="en-US"/>
              </w:rPr>
              <w:t>Long-term exposure to elemental mercury may lead to changes in renal function</w:t>
            </w:r>
            <w:r>
              <w:rPr>
                <w:lang w:eastAsia="en-US"/>
              </w:rPr>
              <w:t>.</w:t>
            </w:r>
            <w:r w:rsidRPr="00D56CA7">
              <w:rPr>
                <w:lang w:eastAsia="en-US"/>
              </w:rPr>
              <w:t xml:space="preserve"> </w:t>
            </w:r>
          </w:p>
        </w:tc>
      </w:tr>
      <w:tr w:rsidR="00E644D1" w:rsidRPr="00D56CA7" w14:paraId="03ADE3E5" w14:textId="77777777" w:rsidTr="006C72FE">
        <w:tc>
          <w:tcPr>
            <w:tcW w:w="707" w:type="dxa"/>
            <w:tcBorders>
              <w:top w:val="nil"/>
              <w:left w:val="nil"/>
              <w:bottom w:val="nil"/>
              <w:right w:val="nil"/>
            </w:tcBorders>
          </w:tcPr>
          <w:p w14:paraId="598DFB2F" w14:textId="77777777" w:rsidR="00E644D1" w:rsidRPr="00B1179D" w:rsidRDefault="00E644D1" w:rsidP="006C72FE">
            <w:pPr>
              <w:rPr>
                <w:rFonts w:eastAsia="Times New Roman"/>
                <w:b/>
                <w:szCs w:val="20"/>
                <w:lang w:eastAsia="en-US"/>
              </w:rPr>
            </w:pPr>
            <w:r w:rsidRPr="00B1179D">
              <w:rPr>
                <w:rFonts w:eastAsia="Times New Roman"/>
                <w:b/>
                <w:szCs w:val="20"/>
                <w:lang w:eastAsia="en-US"/>
              </w:rPr>
              <w:lastRenderedPageBreak/>
              <w:t>2.1.2</w:t>
            </w:r>
          </w:p>
        </w:tc>
        <w:tc>
          <w:tcPr>
            <w:tcW w:w="2443" w:type="dxa"/>
            <w:tcBorders>
              <w:top w:val="nil"/>
              <w:left w:val="nil"/>
              <w:bottom w:val="nil"/>
              <w:right w:val="nil"/>
            </w:tcBorders>
          </w:tcPr>
          <w:p w14:paraId="36EA2765" w14:textId="77777777" w:rsidR="00E644D1" w:rsidRPr="002F6BCC" w:rsidRDefault="00E644D1" w:rsidP="002F6BCC">
            <w:pPr>
              <w:rPr>
                <w:b/>
                <w:bCs/>
                <w:lang w:eastAsia="en-US"/>
              </w:rPr>
            </w:pPr>
            <w:r w:rsidRPr="002F6BCC">
              <w:rPr>
                <w:b/>
                <w:bCs/>
                <w:lang w:eastAsia="en-US"/>
              </w:rPr>
              <w:t>Symptoms of poisoning</w:t>
            </w:r>
          </w:p>
        </w:tc>
        <w:tc>
          <w:tcPr>
            <w:tcW w:w="6206" w:type="dxa"/>
            <w:tcBorders>
              <w:top w:val="nil"/>
              <w:left w:val="nil"/>
              <w:bottom w:val="nil"/>
              <w:right w:val="nil"/>
            </w:tcBorders>
          </w:tcPr>
          <w:p w14:paraId="4FF6280E" w14:textId="77777777" w:rsidR="00E644D1" w:rsidRPr="00EE1026" w:rsidRDefault="00E644D1" w:rsidP="006C72FE">
            <w:pPr>
              <w:spacing w:line="183" w:lineRule="exact"/>
              <w:ind w:right="216"/>
              <w:textAlignment w:val="baseline"/>
              <w:rPr>
                <w:rFonts w:eastAsia="Times New Roman"/>
                <w:b/>
                <w:bCs/>
                <w:kern w:val="28"/>
                <w:szCs w:val="20"/>
                <w:lang w:eastAsia="en-US"/>
              </w:rPr>
            </w:pPr>
            <w:r w:rsidRPr="00EE1026">
              <w:rPr>
                <w:rFonts w:eastAsia="Times New Roman"/>
                <w:b/>
                <w:bCs/>
                <w:kern w:val="28"/>
                <w:szCs w:val="20"/>
                <w:lang w:eastAsia="en-US"/>
              </w:rPr>
              <w:t>WHO (2003)</w:t>
            </w:r>
          </w:p>
          <w:p w14:paraId="316B7D2D" w14:textId="77777777" w:rsidR="00E644D1" w:rsidRPr="00D56CA7" w:rsidRDefault="00E644D1" w:rsidP="006C72FE">
            <w:pPr>
              <w:rPr>
                <w:lang w:eastAsia="en-US"/>
              </w:rPr>
            </w:pPr>
            <w:r w:rsidRPr="00A46C25">
              <w:rPr>
                <w:lang w:eastAsia="en-US"/>
              </w:rPr>
              <w:t>Prominent symptoms include tremors, emotional lability, insomnia, memory loss, neuromuscular changes, headaches, polyneuropathy, and performance deficits in tests of cognitive or motor function.</w:t>
            </w:r>
          </w:p>
        </w:tc>
      </w:tr>
      <w:tr w:rsidR="00E644D1" w:rsidRPr="00744948" w14:paraId="14834540" w14:textId="77777777" w:rsidTr="006C72FE">
        <w:tc>
          <w:tcPr>
            <w:tcW w:w="707" w:type="dxa"/>
            <w:tcBorders>
              <w:top w:val="nil"/>
              <w:left w:val="nil"/>
              <w:bottom w:val="nil"/>
              <w:right w:val="nil"/>
            </w:tcBorders>
          </w:tcPr>
          <w:p w14:paraId="410C72AD" w14:textId="77777777" w:rsidR="00E644D1" w:rsidRPr="00B1179D" w:rsidRDefault="00E644D1" w:rsidP="006C72FE">
            <w:pPr>
              <w:rPr>
                <w:rFonts w:eastAsia="Times New Roman"/>
                <w:b/>
                <w:szCs w:val="20"/>
                <w:lang w:eastAsia="en-US"/>
              </w:rPr>
            </w:pPr>
            <w:r w:rsidRPr="00B1179D">
              <w:rPr>
                <w:rFonts w:eastAsia="Times New Roman"/>
                <w:b/>
                <w:szCs w:val="20"/>
                <w:lang w:eastAsia="en-US"/>
              </w:rPr>
              <w:t>2.1.3</w:t>
            </w:r>
          </w:p>
        </w:tc>
        <w:tc>
          <w:tcPr>
            <w:tcW w:w="2443" w:type="dxa"/>
            <w:tcBorders>
              <w:top w:val="nil"/>
              <w:left w:val="nil"/>
              <w:bottom w:val="nil"/>
              <w:right w:val="nil"/>
            </w:tcBorders>
          </w:tcPr>
          <w:p w14:paraId="15983051" w14:textId="77777777" w:rsidR="00E644D1" w:rsidRPr="002F6BCC" w:rsidRDefault="00E644D1" w:rsidP="002F6BCC">
            <w:pPr>
              <w:rPr>
                <w:b/>
                <w:bCs/>
                <w:lang w:eastAsia="en-US"/>
              </w:rPr>
            </w:pPr>
            <w:r w:rsidRPr="002F6BCC">
              <w:rPr>
                <w:b/>
                <w:bCs/>
                <w:lang w:eastAsia="en-US"/>
              </w:rPr>
              <w:t>Absorption, distribution, excretion and metabolism in mammals</w:t>
            </w:r>
          </w:p>
        </w:tc>
        <w:tc>
          <w:tcPr>
            <w:tcW w:w="6206" w:type="dxa"/>
            <w:tcBorders>
              <w:top w:val="nil"/>
              <w:left w:val="nil"/>
              <w:bottom w:val="nil"/>
              <w:right w:val="nil"/>
            </w:tcBorders>
          </w:tcPr>
          <w:p w14:paraId="0A824242" w14:textId="77777777" w:rsidR="00E644D1" w:rsidRPr="00E644D1" w:rsidRDefault="00E644D1" w:rsidP="006C72FE">
            <w:pPr>
              <w:rPr>
                <w:b/>
                <w:bCs/>
                <w:lang w:eastAsia="en-US"/>
              </w:rPr>
            </w:pPr>
            <w:r w:rsidRPr="00E644D1">
              <w:rPr>
                <w:b/>
                <w:bCs/>
                <w:lang w:eastAsia="en-US"/>
              </w:rPr>
              <w:t>WHO (2003)</w:t>
            </w:r>
          </w:p>
          <w:p w14:paraId="4234A59C" w14:textId="77777777" w:rsidR="00E644D1" w:rsidRPr="00D56CA7" w:rsidRDefault="00E644D1" w:rsidP="006C72FE">
            <w:pPr>
              <w:rPr>
                <w:lang w:eastAsia="en-US"/>
              </w:rPr>
            </w:pPr>
            <w:r w:rsidRPr="00D56CA7">
              <w:rPr>
                <w:lang w:eastAsia="en-US"/>
              </w:rPr>
              <w:t>Inhalation is the primary route of entry into the body for elemental mercury, while oral exposure is the primary route for inorganic mercury salts. Dermal penetration is usually not a significant route of exposure to inorganic mercury.</w:t>
            </w:r>
          </w:p>
          <w:p w14:paraId="78C21E05" w14:textId="77777777" w:rsidR="00E644D1" w:rsidRDefault="00E644D1" w:rsidP="006C72FE">
            <w:pPr>
              <w:rPr>
                <w:lang w:eastAsia="en-US"/>
              </w:rPr>
            </w:pPr>
            <w:r w:rsidRPr="00D56CA7">
              <w:rPr>
                <w:lang w:eastAsia="en-US"/>
              </w:rPr>
              <w:t xml:space="preserve">Approximately 80% of inhaled elemental mercury is absorbed through the lungs by rapid diffusion. In contrast, only 0.01% of elemental mercury is absorbed through the gastrointestinal tract, possibly because of its enterogastric conversion to divalent mercury and subsequent binding to sulfhydryl groups. Dermal absorption of elemental mercury is limited. </w:t>
            </w:r>
            <w:r>
              <w:rPr>
                <w:lang w:eastAsia="en-US"/>
              </w:rPr>
              <w:t>D</w:t>
            </w:r>
            <w:r w:rsidRPr="00D56CA7">
              <w:rPr>
                <w:lang w:eastAsia="en-US"/>
              </w:rPr>
              <w:t xml:space="preserve">ermal absorption </w:t>
            </w:r>
            <w:r>
              <w:rPr>
                <w:lang w:eastAsia="en-US"/>
              </w:rPr>
              <w:t xml:space="preserve">is estimated to </w:t>
            </w:r>
            <w:r w:rsidRPr="00D56CA7">
              <w:rPr>
                <w:lang w:eastAsia="en-US"/>
              </w:rPr>
              <w:t xml:space="preserve">contribute approximately 2.6% of the absorbed mercury following exposure to elemental mercury vapour in the air; the other 97.4% occurs through inhalation. </w:t>
            </w:r>
          </w:p>
          <w:p w14:paraId="4A06A98A" w14:textId="77777777" w:rsidR="00E644D1" w:rsidRDefault="00E644D1" w:rsidP="006C72FE">
            <w:pPr>
              <w:rPr>
                <w:lang w:eastAsia="en-US"/>
              </w:rPr>
            </w:pPr>
            <w:r>
              <w:rPr>
                <w:lang w:eastAsia="en-US"/>
              </w:rPr>
              <w:t>T</w:t>
            </w:r>
            <w:r w:rsidRPr="00D56CA7">
              <w:rPr>
                <w:lang w:eastAsia="en-US"/>
              </w:rPr>
              <w:t xml:space="preserve">he absorption, blood levels, and excretion of mercury </w:t>
            </w:r>
            <w:r>
              <w:rPr>
                <w:lang w:eastAsia="en-US"/>
              </w:rPr>
              <w:t xml:space="preserve">evaluated </w:t>
            </w:r>
            <w:r w:rsidRPr="00D56CA7">
              <w:rPr>
                <w:lang w:eastAsia="en-US"/>
              </w:rPr>
              <w:t>in nine healthy volunteers (two males, seven females) exposed to mercury vapour in air at 400 µg/m3 for 15 min</w:t>
            </w:r>
            <w:r>
              <w:rPr>
                <w:lang w:eastAsia="en-US"/>
              </w:rPr>
              <w:t xml:space="preserve"> corresponded</w:t>
            </w:r>
            <w:r w:rsidRPr="00D56CA7">
              <w:rPr>
                <w:lang w:eastAsia="en-US"/>
              </w:rPr>
              <w:t xml:space="preserve"> to a dose of 5.5 nmol mercury/kg body weight. Samples of exhaled air, blood, and urine were collected for 30 days after exposure. The median retention of elemental mercury after 30 days was 69% of the inhaled dose. This corresponds to the estimated half-life of approximately 60 days for elemental mercury</w:t>
            </w:r>
            <w:r w:rsidR="00822D17">
              <w:rPr>
                <w:lang w:eastAsia="en-US"/>
              </w:rPr>
              <w:t>.</w:t>
            </w:r>
          </w:p>
          <w:p w14:paraId="7CA2F98E" w14:textId="77777777" w:rsidR="00E644D1" w:rsidRDefault="00E644D1" w:rsidP="006C72FE">
            <w:pPr>
              <w:rPr>
                <w:lang w:eastAsia="en-US"/>
              </w:rPr>
            </w:pPr>
            <w:r w:rsidRPr="00D56CA7">
              <w:rPr>
                <w:lang w:eastAsia="en-US"/>
              </w:rPr>
              <w:t>The lipophilic nature of elemental mercury results in its distribution throughout the body. Elemental mercury dissolves in the blood upon inhalation, and some remains unchanged. Elemental mercury in the blood is oxidized to its divalent form in the red blood cells. The divalent cation exists as a diffusible or non-diffusible form. The non-diffusible form exists as mercuric ions that bind to protein and are held in high-molecular-weight complexes, existing in equilibrium with the diffusible form. In the plasma, the mercuric ion is predominantly non-diffusible and binds to albumin and globulins</w:t>
            </w:r>
            <w:r>
              <w:rPr>
                <w:lang w:eastAsia="en-US"/>
              </w:rPr>
              <w:t>.</w:t>
            </w:r>
          </w:p>
          <w:p w14:paraId="134CC868" w14:textId="77777777" w:rsidR="00E644D1" w:rsidRDefault="00E644D1" w:rsidP="006C72FE">
            <w:pPr>
              <w:rPr>
                <w:lang w:eastAsia="en-US"/>
              </w:rPr>
            </w:pPr>
            <w:r w:rsidRPr="00D56CA7">
              <w:rPr>
                <w:lang w:eastAsia="en-US"/>
              </w:rPr>
              <w:t>The high lipophilicity of elemental mercury in solution in the body allows it to readily cross the blood– brain and placental barriers. In mice, the uptake of mercury across the placenta appears to increase as gestation progresses. Levels of mercury in the f</w:t>
            </w:r>
            <w:r w:rsidR="001C665C">
              <w:rPr>
                <w:lang w:eastAsia="en-US"/>
              </w:rPr>
              <w:t>o</w:t>
            </w:r>
            <w:r w:rsidRPr="00D56CA7">
              <w:rPr>
                <w:lang w:eastAsia="en-US"/>
              </w:rPr>
              <w:t xml:space="preserve">etus are approximately 4 times higher after exposure to elemental mercury vapour than after mercuric chloride administration for mice and 10– 40 times higher for rats. The transport of </w:t>
            </w:r>
            <w:r w:rsidR="00D609EE">
              <w:rPr>
                <w:lang w:eastAsia="en-US"/>
              </w:rPr>
              <w:t xml:space="preserve">the </w:t>
            </w:r>
            <w:r w:rsidRPr="00D56CA7">
              <w:rPr>
                <w:lang w:eastAsia="en-US"/>
              </w:rPr>
              <w:t>mercuric ion is limited at the placental barrier by the presence of high-affinity binding sites.</w:t>
            </w:r>
          </w:p>
          <w:p w14:paraId="03B0EF2A" w14:textId="77777777" w:rsidR="00E644D1" w:rsidRDefault="00E644D1" w:rsidP="006C72FE">
            <w:pPr>
              <w:rPr>
                <w:lang w:eastAsia="en-US"/>
              </w:rPr>
            </w:pPr>
            <w:r w:rsidRPr="00D56CA7">
              <w:rPr>
                <w:lang w:eastAsia="en-US"/>
              </w:rPr>
              <w:t>Mercury distributes to all tissues and reaches peak levels within 24 h, except in the brain, where peak levels are achieved within 23 days</w:t>
            </w:r>
            <w:r>
              <w:rPr>
                <w:lang w:eastAsia="en-US"/>
              </w:rPr>
              <w:t>.</w:t>
            </w:r>
            <w:r w:rsidRPr="00D56CA7">
              <w:rPr>
                <w:lang w:eastAsia="en-US"/>
              </w:rPr>
              <w:t xml:space="preserve"> The longest retention of mercury after inhalation of mercury vapour occurs in the brain. Japanese workers who died 10 years after their last exposure to elemental mercury vapours still had high residual levels of mercury in </w:t>
            </w:r>
            <w:r w:rsidRPr="00D56CA7">
              <w:rPr>
                <w:lang w:eastAsia="en-US"/>
              </w:rPr>
              <w:lastRenderedPageBreak/>
              <w:t>their brains.</w:t>
            </w:r>
          </w:p>
          <w:p w14:paraId="35D3C645" w14:textId="77777777" w:rsidR="00E644D1" w:rsidRDefault="00E644D1" w:rsidP="006C72FE">
            <w:pPr>
              <w:rPr>
                <w:lang w:eastAsia="en-US"/>
              </w:rPr>
            </w:pPr>
            <w:r w:rsidRPr="00D56CA7">
              <w:rPr>
                <w:lang w:eastAsia="en-US"/>
              </w:rPr>
              <w:t>While the primary organs of mercury deposition following inhalation exposure to elemental mercury vapours are the brain and kidney, the extent of deposition is dependent upon the duration of exposure and, to a greater extent, the concentration to which the organism is exposed.</w:t>
            </w:r>
          </w:p>
          <w:p w14:paraId="186A1EC2" w14:textId="77777777" w:rsidR="00E644D1" w:rsidRDefault="00E644D1" w:rsidP="006C72FE">
            <w:pPr>
              <w:rPr>
                <w:lang w:eastAsia="en-US"/>
              </w:rPr>
            </w:pPr>
            <w:r w:rsidRPr="00D56CA7">
              <w:rPr>
                <w:lang w:eastAsia="en-US"/>
              </w:rPr>
              <w:t>The available evidence indicates that the metabolism of all forms of inorganic mercury is similar for humans and laboratory mammals. Once absorbed, elemental and inorganic mercury enter an oxidation– reduction cycle. Elemental mercury is oxidized to the divalent inorganic cation in the red blood cells and lungs. Evidence from animal studies suggests the liver as an additional site of oxidation. Absorbed divalent cation from exposure to mercuric mercury compounds can, in turn, be reduced to the metallic or monovalent form and released as exhaled elemental mercury vapour.</w:t>
            </w:r>
          </w:p>
          <w:p w14:paraId="3A2ABC36" w14:textId="77777777" w:rsidR="00E644D1" w:rsidRPr="00744948" w:rsidRDefault="00E644D1" w:rsidP="006C72FE">
            <w:pPr>
              <w:rPr>
                <w:lang w:eastAsia="en-US"/>
              </w:rPr>
            </w:pPr>
            <w:r w:rsidRPr="00D56CA7">
              <w:rPr>
                <w:lang w:eastAsia="en-US"/>
              </w:rPr>
              <w:t>Elimination of mercury occurs primarily through the urine and faeces, with the expired air, sweat, and saliva contributing to a much lesser extent.</w:t>
            </w:r>
          </w:p>
        </w:tc>
      </w:tr>
      <w:tr w:rsidR="00E644D1" w:rsidRPr="00EE1026" w14:paraId="3FAB0C98" w14:textId="77777777" w:rsidTr="006C72FE">
        <w:tc>
          <w:tcPr>
            <w:tcW w:w="707" w:type="dxa"/>
            <w:tcBorders>
              <w:top w:val="nil"/>
              <w:left w:val="nil"/>
              <w:bottom w:val="nil"/>
              <w:right w:val="nil"/>
            </w:tcBorders>
          </w:tcPr>
          <w:p w14:paraId="0B0475BB" w14:textId="77777777" w:rsidR="00E644D1" w:rsidRPr="00B1179D" w:rsidRDefault="00E644D1" w:rsidP="006C72FE">
            <w:pPr>
              <w:rPr>
                <w:rFonts w:eastAsia="Times New Roman"/>
                <w:b/>
                <w:szCs w:val="20"/>
                <w:lang w:eastAsia="en-US"/>
              </w:rPr>
            </w:pPr>
            <w:r w:rsidRPr="00B1179D">
              <w:rPr>
                <w:rFonts w:eastAsia="Times New Roman"/>
                <w:b/>
                <w:szCs w:val="20"/>
                <w:lang w:eastAsia="en-US"/>
              </w:rPr>
              <w:lastRenderedPageBreak/>
              <w:t>2.2</w:t>
            </w:r>
          </w:p>
        </w:tc>
        <w:tc>
          <w:tcPr>
            <w:tcW w:w="2443" w:type="dxa"/>
            <w:tcBorders>
              <w:top w:val="nil"/>
              <w:left w:val="nil"/>
              <w:bottom w:val="nil"/>
              <w:right w:val="nil"/>
            </w:tcBorders>
          </w:tcPr>
          <w:p w14:paraId="4525335E" w14:textId="77777777" w:rsidR="00E644D1" w:rsidRPr="002F6BCC" w:rsidRDefault="00E644D1" w:rsidP="002F6BCC">
            <w:pPr>
              <w:rPr>
                <w:b/>
                <w:bCs/>
                <w:lang w:eastAsia="en-US"/>
              </w:rPr>
            </w:pPr>
            <w:r w:rsidRPr="002F6BCC">
              <w:rPr>
                <w:b/>
                <w:bCs/>
                <w:lang w:eastAsia="en-US"/>
              </w:rPr>
              <w:t>Toxicology studies</w:t>
            </w:r>
          </w:p>
        </w:tc>
        <w:tc>
          <w:tcPr>
            <w:tcW w:w="6206" w:type="dxa"/>
            <w:tcBorders>
              <w:top w:val="nil"/>
              <w:left w:val="nil"/>
              <w:bottom w:val="nil"/>
              <w:right w:val="nil"/>
            </w:tcBorders>
          </w:tcPr>
          <w:p w14:paraId="3F306BF9" w14:textId="77777777" w:rsidR="00E644D1" w:rsidRPr="00EE1026" w:rsidRDefault="00E644D1" w:rsidP="006C72FE">
            <w:pPr>
              <w:rPr>
                <w:rFonts w:eastAsia="Times New Roman"/>
                <w:b/>
                <w:bCs/>
                <w:szCs w:val="20"/>
                <w:lang w:eastAsia="en-US"/>
              </w:rPr>
            </w:pPr>
            <w:r w:rsidRPr="00EE1026">
              <w:rPr>
                <w:rFonts w:eastAsia="Times New Roman"/>
                <w:b/>
                <w:bCs/>
                <w:szCs w:val="20"/>
                <w:lang w:eastAsia="en-US"/>
              </w:rPr>
              <w:t>ECHA Registration Dossier 5169</w:t>
            </w:r>
          </w:p>
        </w:tc>
      </w:tr>
      <w:tr w:rsidR="00E644D1" w:rsidRPr="00744948" w14:paraId="596CD64A" w14:textId="77777777" w:rsidTr="006C72FE">
        <w:tc>
          <w:tcPr>
            <w:tcW w:w="707" w:type="dxa"/>
            <w:tcBorders>
              <w:top w:val="nil"/>
              <w:left w:val="nil"/>
              <w:bottom w:val="nil"/>
              <w:right w:val="nil"/>
            </w:tcBorders>
          </w:tcPr>
          <w:p w14:paraId="200EF498" w14:textId="77777777" w:rsidR="00E644D1" w:rsidRPr="00B1179D" w:rsidRDefault="00E644D1" w:rsidP="006C72FE">
            <w:pPr>
              <w:rPr>
                <w:rFonts w:eastAsia="Times New Roman"/>
                <w:b/>
                <w:szCs w:val="20"/>
                <w:lang w:eastAsia="en-US"/>
              </w:rPr>
            </w:pPr>
            <w:r w:rsidRPr="00B1179D">
              <w:rPr>
                <w:rFonts w:eastAsia="Times New Roman"/>
                <w:b/>
                <w:szCs w:val="20"/>
                <w:lang w:eastAsia="en-US"/>
              </w:rPr>
              <w:t>2.2.1</w:t>
            </w:r>
          </w:p>
        </w:tc>
        <w:tc>
          <w:tcPr>
            <w:tcW w:w="2443" w:type="dxa"/>
            <w:tcBorders>
              <w:top w:val="nil"/>
              <w:left w:val="nil"/>
              <w:bottom w:val="nil"/>
              <w:right w:val="nil"/>
            </w:tcBorders>
          </w:tcPr>
          <w:p w14:paraId="78CA28BB" w14:textId="77777777" w:rsidR="00E644D1" w:rsidRPr="002F6BCC" w:rsidRDefault="00E644D1" w:rsidP="002F6BCC">
            <w:pPr>
              <w:rPr>
                <w:b/>
                <w:bCs/>
                <w:lang w:eastAsia="en-US"/>
              </w:rPr>
            </w:pPr>
            <w:r w:rsidRPr="002F6BCC">
              <w:rPr>
                <w:b/>
                <w:bCs/>
                <w:lang w:eastAsia="en-US"/>
              </w:rPr>
              <w:t>Acute toxicity</w:t>
            </w:r>
          </w:p>
        </w:tc>
        <w:tc>
          <w:tcPr>
            <w:tcW w:w="6206" w:type="dxa"/>
            <w:tcBorders>
              <w:top w:val="nil"/>
              <w:left w:val="nil"/>
              <w:bottom w:val="nil"/>
              <w:right w:val="nil"/>
            </w:tcBorders>
          </w:tcPr>
          <w:p w14:paraId="7E899301"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In an acute oral toxicity study in rats of different age groups, the highest oral toxicity was found in the youngest group of rats (two</w:t>
            </w:r>
            <w:r w:rsidR="00822D17">
              <w:rPr>
                <w:kern w:val="28"/>
                <w:szCs w:val="20"/>
                <w:lang w:val="en-GB" w:eastAsia="en-US"/>
              </w:rPr>
              <w:t>-</w:t>
            </w:r>
            <w:r w:rsidRPr="00D56CA7">
              <w:rPr>
                <w:kern w:val="28"/>
                <w:szCs w:val="20"/>
                <w:lang w:val="en-GB" w:eastAsia="en-US"/>
              </w:rPr>
              <w:t xml:space="preserve">week-old </w:t>
            </w:r>
            <w:proofErr w:type="spellStart"/>
            <w:r w:rsidRPr="00D56CA7">
              <w:rPr>
                <w:kern w:val="28"/>
                <w:szCs w:val="20"/>
                <w:lang w:val="en-GB" w:eastAsia="en-US"/>
              </w:rPr>
              <w:t>sucklings</w:t>
            </w:r>
            <w:proofErr w:type="spellEnd"/>
            <w:r w:rsidRPr="00D56CA7">
              <w:rPr>
                <w:kern w:val="28"/>
                <w:szCs w:val="20"/>
                <w:lang w:val="en-GB" w:eastAsia="en-US"/>
              </w:rPr>
              <w:t>) as indicated by the lowest LD</w:t>
            </w:r>
            <w:r w:rsidRPr="00D6499F">
              <w:rPr>
                <w:kern w:val="28"/>
                <w:szCs w:val="20"/>
                <w:vertAlign w:val="subscript"/>
                <w:lang w:val="en-GB" w:eastAsia="en-US"/>
              </w:rPr>
              <w:t>50</w:t>
            </w:r>
            <w:r w:rsidRPr="00D56CA7">
              <w:rPr>
                <w:kern w:val="28"/>
                <w:szCs w:val="20"/>
                <w:lang w:val="en-GB" w:eastAsia="en-US"/>
              </w:rPr>
              <w:t xml:space="preserve"> value of 35 mg/kg </w:t>
            </w:r>
            <w:proofErr w:type="spellStart"/>
            <w:r w:rsidRPr="00D56CA7">
              <w:rPr>
                <w:kern w:val="28"/>
                <w:szCs w:val="20"/>
                <w:lang w:val="en-GB" w:eastAsia="en-US"/>
              </w:rPr>
              <w:t>bw</w:t>
            </w:r>
            <w:proofErr w:type="spellEnd"/>
            <w:r w:rsidRPr="00D56CA7">
              <w:rPr>
                <w:kern w:val="28"/>
                <w:szCs w:val="20"/>
                <w:lang w:val="en-GB" w:eastAsia="en-US"/>
              </w:rPr>
              <w:t xml:space="preserve"> mercury chloride (26 mg Hg/kg </w:t>
            </w:r>
            <w:proofErr w:type="spellStart"/>
            <w:r w:rsidRPr="00D56CA7">
              <w:rPr>
                <w:kern w:val="28"/>
                <w:szCs w:val="20"/>
                <w:lang w:val="en-GB" w:eastAsia="en-US"/>
              </w:rPr>
              <w:t>bw</w:t>
            </w:r>
            <w:proofErr w:type="spellEnd"/>
            <w:r w:rsidRPr="00D56CA7">
              <w:rPr>
                <w:kern w:val="28"/>
                <w:szCs w:val="20"/>
                <w:lang w:val="en-GB" w:eastAsia="en-US"/>
              </w:rPr>
              <w:t>). In six</w:t>
            </w:r>
            <w:r w:rsidR="00822D17">
              <w:rPr>
                <w:kern w:val="28"/>
                <w:szCs w:val="20"/>
                <w:lang w:val="en-GB" w:eastAsia="en-US"/>
              </w:rPr>
              <w:t>-</w:t>
            </w:r>
            <w:r w:rsidRPr="00D56CA7">
              <w:rPr>
                <w:kern w:val="28"/>
                <w:szCs w:val="20"/>
                <w:lang w:val="en-GB" w:eastAsia="en-US"/>
              </w:rPr>
              <w:t>week-old animals, a LD</w:t>
            </w:r>
            <w:r w:rsidRPr="00D6499F">
              <w:rPr>
                <w:kern w:val="28"/>
                <w:szCs w:val="20"/>
                <w:vertAlign w:val="subscript"/>
                <w:lang w:val="en-GB" w:eastAsia="en-US"/>
              </w:rPr>
              <w:t>50</w:t>
            </w:r>
            <w:r w:rsidRPr="00D56CA7">
              <w:rPr>
                <w:kern w:val="28"/>
                <w:szCs w:val="20"/>
                <w:lang w:val="en-GB" w:eastAsia="en-US"/>
              </w:rPr>
              <w:t xml:space="preserve"> of about 92 mg/kg </w:t>
            </w:r>
            <w:proofErr w:type="spellStart"/>
            <w:r w:rsidRPr="00D56CA7">
              <w:rPr>
                <w:kern w:val="28"/>
                <w:szCs w:val="20"/>
                <w:lang w:val="en-GB" w:eastAsia="en-US"/>
              </w:rPr>
              <w:t>bw</w:t>
            </w:r>
            <w:proofErr w:type="spellEnd"/>
            <w:r w:rsidRPr="00D56CA7">
              <w:rPr>
                <w:kern w:val="28"/>
                <w:szCs w:val="20"/>
                <w:lang w:val="en-GB" w:eastAsia="en-US"/>
              </w:rPr>
              <w:t xml:space="preserve"> HgCl</w:t>
            </w:r>
            <w:r w:rsidRPr="00D6499F">
              <w:rPr>
                <w:kern w:val="28"/>
                <w:szCs w:val="20"/>
                <w:vertAlign w:val="subscript"/>
                <w:lang w:val="en-GB" w:eastAsia="en-US"/>
              </w:rPr>
              <w:t>2</w:t>
            </w:r>
            <w:r w:rsidRPr="00D56CA7">
              <w:rPr>
                <w:kern w:val="28"/>
                <w:szCs w:val="20"/>
                <w:lang w:val="en-GB" w:eastAsia="en-US"/>
              </w:rPr>
              <w:t xml:space="preserve"> (78 mg Hg/kg </w:t>
            </w:r>
            <w:proofErr w:type="spellStart"/>
            <w:r w:rsidRPr="00D56CA7">
              <w:rPr>
                <w:kern w:val="28"/>
                <w:szCs w:val="20"/>
                <w:lang w:val="en-GB" w:eastAsia="en-US"/>
              </w:rPr>
              <w:t>bw</w:t>
            </w:r>
            <w:proofErr w:type="spellEnd"/>
            <w:r w:rsidRPr="00D56CA7">
              <w:rPr>
                <w:kern w:val="28"/>
                <w:szCs w:val="20"/>
                <w:lang w:val="en-GB" w:eastAsia="en-US"/>
              </w:rPr>
              <w:t>) was determined, and in older animals (up to 54 weeks) the LD</w:t>
            </w:r>
            <w:r w:rsidRPr="00D6499F">
              <w:rPr>
                <w:kern w:val="28"/>
                <w:szCs w:val="20"/>
                <w:vertAlign w:val="subscript"/>
                <w:lang w:val="en-GB" w:eastAsia="en-US"/>
              </w:rPr>
              <w:t>50</w:t>
            </w:r>
            <w:r w:rsidRPr="00D56CA7">
              <w:rPr>
                <w:kern w:val="28"/>
                <w:szCs w:val="20"/>
                <w:lang w:val="en-GB" w:eastAsia="en-US"/>
              </w:rPr>
              <w:t xml:space="preserve"> values were only about 1.4 times higher than in </w:t>
            </w:r>
            <w:proofErr w:type="spellStart"/>
            <w:r w:rsidRPr="00D56CA7">
              <w:rPr>
                <w:kern w:val="28"/>
                <w:szCs w:val="20"/>
                <w:lang w:val="en-GB" w:eastAsia="en-US"/>
              </w:rPr>
              <w:t>sucklings</w:t>
            </w:r>
            <w:proofErr w:type="spellEnd"/>
            <w:r w:rsidRPr="00D56CA7">
              <w:rPr>
                <w:kern w:val="28"/>
                <w:szCs w:val="20"/>
                <w:lang w:val="en-GB" w:eastAsia="en-US"/>
              </w:rPr>
              <w:t xml:space="preserve"> (50 mg/kg </w:t>
            </w:r>
            <w:proofErr w:type="spellStart"/>
            <w:r w:rsidRPr="00D56CA7">
              <w:rPr>
                <w:kern w:val="28"/>
                <w:szCs w:val="20"/>
                <w:lang w:val="en-GB" w:eastAsia="en-US"/>
              </w:rPr>
              <w:t>bw</w:t>
            </w:r>
            <w:proofErr w:type="spellEnd"/>
            <w:r w:rsidRPr="00D56CA7">
              <w:rPr>
                <w:kern w:val="28"/>
                <w:szCs w:val="20"/>
                <w:lang w:val="en-GB" w:eastAsia="en-US"/>
              </w:rPr>
              <w:t xml:space="preserve"> HgCl</w:t>
            </w:r>
            <w:r w:rsidRPr="00D6499F">
              <w:rPr>
                <w:kern w:val="28"/>
                <w:szCs w:val="20"/>
                <w:vertAlign w:val="subscript"/>
                <w:lang w:val="en-GB" w:eastAsia="en-US"/>
              </w:rPr>
              <w:t>2</w:t>
            </w:r>
            <w:r w:rsidRPr="00D56CA7">
              <w:rPr>
                <w:kern w:val="28"/>
                <w:szCs w:val="20"/>
                <w:lang w:val="en-GB" w:eastAsia="en-US"/>
              </w:rPr>
              <w:t xml:space="preserve"> corresponding to 37 mg Hg/kg </w:t>
            </w:r>
            <w:proofErr w:type="spellStart"/>
            <w:r w:rsidRPr="00D56CA7">
              <w:rPr>
                <w:kern w:val="28"/>
                <w:szCs w:val="20"/>
                <w:lang w:val="en-GB" w:eastAsia="en-US"/>
              </w:rPr>
              <w:t>bw</w:t>
            </w:r>
            <w:proofErr w:type="spellEnd"/>
            <w:r w:rsidRPr="00D56CA7">
              <w:rPr>
                <w:kern w:val="28"/>
                <w:szCs w:val="20"/>
                <w:lang w:val="en-GB" w:eastAsia="en-US"/>
              </w:rPr>
              <w:t>).</w:t>
            </w:r>
          </w:p>
          <w:p w14:paraId="7ED97DFA"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The LD</w:t>
            </w:r>
            <w:r w:rsidRPr="00D6499F">
              <w:rPr>
                <w:kern w:val="28"/>
                <w:szCs w:val="20"/>
                <w:vertAlign w:val="subscript"/>
                <w:lang w:val="en-GB" w:eastAsia="en-US"/>
              </w:rPr>
              <w:t>50</w:t>
            </w:r>
            <w:r w:rsidRPr="00D56CA7">
              <w:rPr>
                <w:kern w:val="28"/>
                <w:szCs w:val="20"/>
                <w:lang w:val="en-GB" w:eastAsia="en-US"/>
              </w:rPr>
              <w:t xml:space="preserve"> (rats) was higher than 2000 mg/kg for the test item MISCELA HY-TQS. Since only about 24.8% of mercury are included in the test item, this can be recalculated to &gt; 496 mg/kg mercury.</w:t>
            </w:r>
          </w:p>
          <w:p w14:paraId="78C2E052"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A concentration level of 27 mg/m</w:t>
            </w:r>
            <w:r w:rsidRPr="00D6499F">
              <w:rPr>
                <w:kern w:val="28"/>
                <w:szCs w:val="20"/>
                <w:vertAlign w:val="superscript"/>
                <w:lang w:val="en-GB" w:eastAsia="en-US"/>
              </w:rPr>
              <w:t>3</w:t>
            </w:r>
            <w:r w:rsidRPr="00D56CA7">
              <w:rPr>
                <w:kern w:val="28"/>
                <w:szCs w:val="20"/>
                <w:lang w:val="en-GB" w:eastAsia="en-US"/>
              </w:rPr>
              <w:t xml:space="preserve"> Hg was lethal in the majority of animals exposed by inhalation for 2 hours, but no death occur</w:t>
            </w:r>
            <w:r w:rsidR="00822D17">
              <w:rPr>
                <w:kern w:val="28"/>
                <w:szCs w:val="20"/>
                <w:lang w:val="en-GB" w:eastAsia="en-US"/>
              </w:rPr>
              <w:t>r</w:t>
            </w:r>
            <w:r w:rsidRPr="00D56CA7">
              <w:rPr>
                <w:kern w:val="28"/>
                <w:szCs w:val="20"/>
                <w:lang w:val="en-GB" w:eastAsia="en-US"/>
              </w:rPr>
              <w:t>ed in animals exposed only for 1 hour.</w:t>
            </w:r>
          </w:p>
          <w:p w14:paraId="67249768"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Limited information on acute dermal toxicity in rabbits indicated lethality after application of high dermal doses of mercury from ointments.</w:t>
            </w:r>
          </w:p>
          <w:p w14:paraId="01D16719" w14:textId="77777777" w:rsidR="00E644D1" w:rsidRPr="00744948"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 xml:space="preserve">Mild to moderate morphological changes were observed in the kidneys of rats at lower oral dose levels in the range of 10.0 and 12.5 mg/kg </w:t>
            </w:r>
            <w:proofErr w:type="spellStart"/>
            <w:r w:rsidRPr="00D56CA7">
              <w:rPr>
                <w:kern w:val="28"/>
                <w:szCs w:val="20"/>
                <w:lang w:val="en-GB" w:eastAsia="en-US"/>
              </w:rPr>
              <w:t>bw</w:t>
            </w:r>
            <w:proofErr w:type="spellEnd"/>
            <w:r w:rsidRPr="00D56CA7">
              <w:rPr>
                <w:kern w:val="28"/>
                <w:szCs w:val="20"/>
                <w:lang w:val="en-GB" w:eastAsia="en-US"/>
              </w:rPr>
              <w:t xml:space="preserve"> (7.4 and 9.2 mg Hg/kg </w:t>
            </w:r>
            <w:proofErr w:type="spellStart"/>
            <w:r w:rsidRPr="00D56CA7">
              <w:rPr>
                <w:kern w:val="28"/>
                <w:szCs w:val="20"/>
                <w:lang w:val="en-GB" w:eastAsia="en-US"/>
              </w:rPr>
              <w:t>bw</w:t>
            </w:r>
            <w:proofErr w:type="spellEnd"/>
            <w:r w:rsidRPr="00D56CA7">
              <w:rPr>
                <w:kern w:val="28"/>
                <w:szCs w:val="20"/>
                <w:lang w:val="en-GB" w:eastAsia="en-US"/>
              </w:rPr>
              <w:t xml:space="preserve">/d). Morphological changes in kidneys were also found in animals treated dermally with high doses of mercury. Biochemistry revealed decreased levels of lactate dehydrogenase (LDH) activity and an increase in serum cholesterol and phosphorus, and </w:t>
            </w:r>
            <w:proofErr w:type="spellStart"/>
            <w:r w:rsidRPr="00D56CA7">
              <w:rPr>
                <w:kern w:val="28"/>
                <w:szCs w:val="20"/>
                <w:lang w:val="en-GB" w:eastAsia="en-US"/>
              </w:rPr>
              <w:t>hematology</w:t>
            </w:r>
            <w:proofErr w:type="spellEnd"/>
            <w:r w:rsidRPr="00D56CA7">
              <w:rPr>
                <w:kern w:val="28"/>
                <w:szCs w:val="20"/>
                <w:lang w:val="en-GB" w:eastAsia="en-US"/>
              </w:rPr>
              <w:t xml:space="preserve"> showed decreases in red blood cell parameters in the oral study.</w:t>
            </w:r>
          </w:p>
        </w:tc>
      </w:tr>
      <w:tr w:rsidR="00E644D1" w:rsidRPr="00D56CA7" w14:paraId="41E0AD21" w14:textId="77777777" w:rsidTr="006C72FE">
        <w:tc>
          <w:tcPr>
            <w:tcW w:w="707" w:type="dxa"/>
            <w:tcBorders>
              <w:top w:val="nil"/>
              <w:left w:val="nil"/>
              <w:bottom w:val="nil"/>
              <w:right w:val="nil"/>
            </w:tcBorders>
          </w:tcPr>
          <w:p w14:paraId="3F65B52B" w14:textId="77777777" w:rsidR="00E644D1" w:rsidRPr="00B1179D" w:rsidRDefault="00E644D1" w:rsidP="006C72FE">
            <w:pPr>
              <w:rPr>
                <w:rFonts w:eastAsia="Times New Roman"/>
                <w:b/>
                <w:szCs w:val="20"/>
                <w:lang w:eastAsia="en-US"/>
              </w:rPr>
            </w:pPr>
            <w:r w:rsidRPr="00B1179D">
              <w:rPr>
                <w:rFonts w:eastAsia="Times New Roman"/>
                <w:b/>
                <w:szCs w:val="20"/>
                <w:lang w:eastAsia="en-US"/>
              </w:rPr>
              <w:t>2.2.2</w:t>
            </w:r>
          </w:p>
        </w:tc>
        <w:tc>
          <w:tcPr>
            <w:tcW w:w="2443" w:type="dxa"/>
            <w:tcBorders>
              <w:top w:val="nil"/>
              <w:left w:val="nil"/>
              <w:bottom w:val="nil"/>
              <w:right w:val="nil"/>
            </w:tcBorders>
          </w:tcPr>
          <w:p w14:paraId="3BE40CC3" w14:textId="77777777" w:rsidR="00E644D1" w:rsidRPr="002F6BCC" w:rsidRDefault="00E644D1" w:rsidP="002F6BCC">
            <w:pPr>
              <w:rPr>
                <w:b/>
                <w:bCs/>
                <w:lang w:eastAsia="en-US"/>
              </w:rPr>
            </w:pPr>
            <w:r w:rsidRPr="002F6BCC">
              <w:rPr>
                <w:b/>
                <w:bCs/>
                <w:lang w:eastAsia="en-US"/>
              </w:rPr>
              <w:t>Short term toxicity</w:t>
            </w:r>
          </w:p>
        </w:tc>
        <w:tc>
          <w:tcPr>
            <w:tcW w:w="6206" w:type="dxa"/>
            <w:tcBorders>
              <w:top w:val="nil"/>
              <w:left w:val="nil"/>
              <w:bottom w:val="nil"/>
              <w:right w:val="nil"/>
            </w:tcBorders>
          </w:tcPr>
          <w:p w14:paraId="36CA5C06" w14:textId="77777777" w:rsidR="00E644D1" w:rsidRDefault="00E644D1" w:rsidP="006C72FE">
            <w:pPr>
              <w:pStyle w:val="NormalWeb"/>
              <w:shd w:val="clear" w:color="auto" w:fill="FFFFFF"/>
              <w:spacing w:before="0" w:beforeAutospacing="0" w:after="120" w:afterAutospacing="0"/>
              <w:rPr>
                <w:kern w:val="28"/>
                <w:szCs w:val="20"/>
                <w:lang w:val="en-GB" w:eastAsia="en-US"/>
              </w:rPr>
            </w:pPr>
            <w:r w:rsidRPr="00EE1026">
              <w:rPr>
                <w:b/>
                <w:bCs/>
                <w:szCs w:val="20"/>
                <w:lang w:eastAsia="en-US"/>
              </w:rPr>
              <w:t>ECHA Registration Dossier 5169</w:t>
            </w:r>
          </w:p>
          <w:p w14:paraId="0C391B17"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Repeated dose toxicity, oral:</w:t>
            </w:r>
          </w:p>
          <w:p w14:paraId="05D0EAB8"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Data on repeated dose toxicity by the oral route in animals are available. In a NTP study, mice and rats were administered orally by gavage for 2 weeks, 26 weeks or 2 years. The lowest LOAEL of 0.312 mg HgCl</w:t>
            </w:r>
            <w:r w:rsidRPr="004F7C6B">
              <w:rPr>
                <w:kern w:val="28"/>
                <w:szCs w:val="20"/>
                <w:vertAlign w:val="subscript"/>
                <w:lang w:val="en-GB" w:eastAsia="en-US"/>
              </w:rPr>
              <w:t>2</w:t>
            </w:r>
            <w:r w:rsidRPr="00D56CA7">
              <w:rPr>
                <w:kern w:val="28"/>
                <w:szCs w:val="20"/>
                <w:lang w:val="en-GB" w:eastAsia="en-US"/>
              </w:rPr>
              <w:t xml:space="preserve">/kg </w:t>
            </w:r>
            <w:proofErr w:type="spellStart"/>
            <w:r w:rsidRPr="00D56CA7">
              <w:rPr>
                <w:kern w:val="28"/>
                <w:szCs w:val="20"/>
                <w:lang w:val="en-GB" w:eastAsia="en-US"/>
              </w:rPr>
              <w:t>bw</w:t>
            </w:r>
            <w:proofErr w:type="spellEnd"/>
            <w:r w:rsidRPr="00D56CA7">
              <w:rPr>
                <w:kern w:val="28"/>
                <w:szCs w:val="20"/>
                <w:lang w:val="en-GB" w:eastAsia="en-US"/>
              </w:rPr>
              <w:t xml:space="preserve">/d (0.23 mg Hg/kg </w:t>
            </w:r>
            <w:proofErr w:type="spellStart"/>
            <w:r w:rsidRPr="00D56CA7">
              <w:rPr>
                <w:kern w:val="28"/>
                <w:szCs w:val="20"/>
                <w:lang w:val="en-GB" w:eastAsia="en-US"/>
              </w:rPr>
              <w:t>bw</w:t>
            </w:r>
            <w:proofErr w:type="spellEnd"/>
            <w:r w:rsidRPr="00D56CA7">
              <w:rPr>
                <w:kern w:val="28"/>
                <w:szCs w:val="20"/>
                <w:lang w:val="en-GB" w:eastAsia="en-US"/>
              </w:rPr>
              <w:t xml:space="preserve">/d) was identified in the 26-week NTP study in rats based on effects on kidney weights and nephropathy. Results from the subsequent 2-year carcinogenicity study in rats revealed the lowest dose level of 2.5 mg/kg </w:t>
            </w:r>
            <w:proofErr w:type="spellStart"/>
            <w:r w:rsidRPr="00D56CA7">
              <w:rPr>
                <w:kern w:val="28"/>
                <w:szCs w:val="20"/>
                <w:lang w:val="en-GB" w:eastAsia="en-US"/>
              </w:rPr>
              <w:t>bw</w:t>
            </w:r>
            <w:proofErr w:type="spellEnd"/>
            <w:r w:rsidRPr="00D56CA7">
              <w:rPr>
                <w:kern w:val="28"/>
                <w:szCs w:val="20"/>
                <w:lang w:val="en-GB" w:eastAsia="en-US"/>
              </w:rPr>
              <w:t>/d HgCl</w:t>
            </w:r>
            <w:r w:rsidRPr="004F7C6B">
              <w:rPr>
                <w:kern w:val="28"/>
                <w:szCs w:val="20"/>
                <w:vertAlign w:val="subscript"/>
                <w:lang w:val="en-GB" w:eastAsia="en-US"/>
              </w:rPr>
              <w:t>2</w:t>
            </w:r>
            <w:r w:rsidRPr="00D56CA7">
              <w:rPr>
                <w:kern w:val="28"/>
                <w:szCs w:val="20"/>
                <w:lang w:val="en-GB" w:eastAsia="en-US"/>
              </w:rPr>
              <w:t xml:space="preserve">(1.9 mg Hg/kg </w:t>
            </w:r>
            <w:proofErr w:type="spellStart"/>
            <w:r w:rsidRPr="00D56CA7">
              <w:rPr>
                <w:kern w:val="28"/>
                <w:szCs w:val="20"/>
                <w:lang w:val="en-GB" w:eastAsia="en-US"/>
              </w:rPr>
              <w:t>bw</w:t>
            </w:r>
            <w:proofErr w:type="spellEnd"/>
            <w:r w:rsidRPr="00D56CA7">
              <w:rPr>
                <w:kern w:val="28"/>
                <w:szCs w:val="20"/>
                <w:lang w:val="en-GB" w:eastAsia="en-US"/>
              </w:rPr>
              <w:t>/d) representing also only a LOAEL based on morphological changes of nephropathy.</w:t>
            </w:r>
          </w:p>
          <w:p w14:paraId="3AC95283"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Repeated dose toxicity, dermal:</w:t>
            </w:r>
          </w:p>
          <w:p w14:paraId="586F31DF"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Pr>
                <w:kern w:val="28"/>
                <w:szCs w:val="20"/>
                <w:lang w:val="en-GB" w:eastAsia="en-US"/>
              </w:rPr>
              <w:t>T</w:t>
            </w:r>
            <w:r w:rsidRPr="00D56CA7">
              <w:rPr>
                <w:kern w:val="28"/>
                <w:szCs w:val="20"/>
                <w:lang w:val="en-GB" w:eastAsia="en-US"/>
              </w:rPr>
              <w:t xml:space="preserve">here is almost no information available on systemic toxicity resulting from repeated dermal exposure of animals. The evaluation of human literature revealed some information about clinical findings in subjects using skin lightening creams containing mercuric ammonium chloride. It </w:t>
            </w:r>
            <w:r w:rsidRPr="00D56CA7">
              <w:rPr>
                <w:kern w:val="28"/>
                <w:szCs w:val="20"/>
                <w:lang w:val="en-GB" w:eastAsia="en-US"/>
              </w:rPr>
              <w:lastRenderedPageBreak/>
              <w:t>could be concluded that a urinary mercury concentration of 29 µg/l (range 0 -90 µg/l) must be regarded as a LOAEL based on established mercury induced nephrotic syndrom</w:t>
            </w:r>
            <w:r w:rsidR="00822D17">
              <w:rPr>
                <w:kern w:val="28"/>
                <w:szCs w:val="20"/>
                <w:lang w:val="en-GB" w:eastAsia="en-US"/>
              </w:rPr>
              <w:t>e</w:t>
            </w:r>
            <w:r w:rsidRPr="00D56CA7">
              <w:rPr>
                <w:kern w:val="28"/>
                <w:szCs w:val="20"/>
                <w:lang w:val="en-GB" w:eastAsia="en-US"/>
              </w:rPr>
              <w:t>.</w:t>
            </w:r>
          </w:p>
          <w:p w14:paraId="3CD92063"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However, absorption through the skin is very limited [“... a very small amount of mercury (about 2% of what is taken up by the lungs) enters the body through the skin”], and thus systemic toxicity following repeated dermal exposure appears to be not of major concern.</w:t>
            </w:r>
          </w:p>
          <w:p w14:paraId="70BC50C6"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Repeated dose toxicity, inhalation:</w:t>
            </w:r>
          </w:p>
          <w:p w14:paraId="0373C1D5"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 xml:space="preserve">The biological effects of long-time low to moderate exposures to metallic mercury vapours under occupational settings were evaluated in depth by </w:t>
            </w:r>
            <w:proofErr w:type="spellStart"/>
            <w:r w:rsidRPr="00D56CA7">
              <w:rPr>
                <w:kern w:val="28"/>
                <w:szCs w:val="20"/>
                <w:lang w:val="en-GB" w:eastAsia="en-US"/>
              </w:rPr>
              <w:t>EuroChlor</w:t>
            </w:r>
            <w:proofErr w:type="spellEnd"/>
            <w:r w:rsidRPr="00D56CA7">
              <w:rPr>
                <w:kern w:val="28"/>
                <w:szCs w:val="20"/>
                <w:lang w:val="en-GB" w:eastAsia="en-US"/>
              </w:rPr>
              <w:t xml:space="preserve"> (2009):</w:t>
            </w:r>
          </w:p>
          <w:p w14:paraId="0ADFAC46"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It was concluded that with the exception of urinary excretion of N-acetyl-beta-D-</w:t>
            </w:r>
            <w:proofErr w:type="spellStart"/>
            <w:r w:rsidRPr="00D56CA7">
              <w:rPr>
                <w:kern w:val="28"/>
                <w:szCs w:val="20"/>
                <w:lang w:val="en-GB" w:eastAsia="en-US"/>
              </w:rPr>
              <w:t>glucosamidase</w:t>
            </w:r>
            <w:proofErr w:type="spellEnd"/>
            <w:r w:rsidRPr="00D56CA7">
              <w:rPr>
                <w:kern w:val="28"/>
                <w:szCs w:val="20"/>
                <w:lang w:val="en-GB" w:eastAsia="en-US"/>
              </w:rPr>
              <w:t xml:space="preserve"> (NAG) fr</w:t>
            </w:r>
            <w:r w:rsidR="00D609EE">
              <w:rPr>
                <w:kern w:val="28"/>
                <w:szCs w:val="20"/>
                <w:lang w:val="en-GB" w:eastAsia="en-US"/>
              </w:rPr>
              <w:t>o</w:t>
            </w:r>
            <w:r w:rsidRPr="00D56CA7">
              <w:rPr>
                <w:kern w:val="28"/>
                <w:szCs w:val="20"/>
                <w:lang w:val="en-GB" w:eastAsia="en-US"/>
              </w:rPr>
              <w:t>m the proximal tubular kidney cells</w:t>
            </w:r>
            <w:r w:rsidR="00D609EE">
              <w:rPr>
                <w:kern w:val="28"/>
                <w:szCs w:val="20"/>
                <w:lang w:val="en-GB" w:eastAsia="en-US"/>
              </w:rPr>
              <w:t>,</w:t>
            </w:r>
            <w:r w:rsidRPr="00D56CA7">
              <w:rPr>
                <w:kern w:val="28"/>
                <w:szCs w:val="20"/>
                <w:lang w:val="en-GB" w:eastAsia="en-US"/>
              </w:rPr>
              <w:t xml:space="preserve"> it seems from the review of scientific literature that effects on the central nervous system are the most sensitive indicator of Hg toxicity. It is considered that the toxic effects from high level exposure are sufficiently well known. Sufficient knowledge for defining reasonably tenable occupational exposure limits also seems to be in place. This is based on recent epidemiological studies on cohorts under current or historical low</w:t>
            </w:r>
            <w:r w:rsidR="00822D17">
              <w:rPr>
                <w:kern w:val="28"/>
                <w:szCs w:val="20"/>
                <w:lang w:val="en-GB" w:eastAsia="en-US"/>
              </w:rPr>
              <w:t>-</w:t>
            </w:r>
            <w:r w:rsidRPr="00D56CA7">
              <w:rPr>
                <w:kern w:val="28"/>
                <w:szCs w:val="20"/>
                <w:lang w:val="en-GB" w:eastAsia="en-US"/>
              </w:rPr>
              <w:t xml:space="preserve">level exposures. The conclusion of the author of this review, putting a particular emphasis on the latest Ellingsen et al studies encompassing the magnitude of reversibility after cessation or reduction of exposure, there are reasons to support a NOAEL (no adverse effect level) of 30 </w:t>
            </w:r>
            <w:proofErr w:type="spellStart"/>
            <w:r w:rsidRPr="00D56CA7">
              <w:rPr>
                <w:kern w:val="28"/>
                <w:szCs w:val="20"/>
                <w:lang w:val="en-GB" w:eastAsia="en-US"/>
              </w:rPr>
              <w:t>μg</w:t>
            </w:r>
            <w:proofErr w:type="spellEnd"/>
            <w:r w:rsidRPr="00D56CA7">
              <w:rPr>
                <w:kern w:val="28"/>
                <w:szCs w:val="20"/>
                <w:lang w:val="en-GB" w:eastAsia="en-US"/>
              </w:rPr>
              <w:t xml:space="preserve"> Hg/g creatinine.</w:t>
            </w:r>
          </w:p>
        </w:tc>
      </w:tr>
      <w:tr w:rsidR="00E644D1" w:rsidRPr="00D56CA7" w14:paraId="20393082" w14:textId="77777777" w:rsidTr="006C72FE">
        <w:tc>
          <w:tcPr>
            <w:tcW w:w="707" w:type="dxa"/>
            <w:tcBorders>
              <w:top w:val="nil"/>
              <w:left w:val="nil"/>
              <w:bottom w:val="nil"/>
              <w:right w:val="nil"/>
            </w:tcBorders>
          </w:tcPr>
          <w:p w14:paraId="635EB190" w14:textId="77777777" w:rsidR="00E644D1" w:rsidRPr="00B1179D" w:rsidRDefault="00E644D1" w:rsidP="006C72FE">
            <w:pPr>
              <w:rPr>
                <w:rFonts w:eastAsia="Times New Roman"/>
                <w:b/>
                <w:szCs w:val="20"/>
                <w:lang w:eastAsia="en-US"/>
              </w:rPr>
            </w:pPr>
            <w:r w:rsidRPr="00B1179D">
              <w:rPr>
                <w:rFonts w:eastAsia="Times New Roman"/>
                <w:b/>
                <w:szCs w:val="20"/>
                <w:lang w:eastAsia="en-US"/>
              </w:rPr>
              <w:lastRenderedPageBreak/>
              <w:t>2.2.3</w:t>
            </w:r>
          </w:p>
        </w:tc>
        <w:tc>
          <w:tcPr>
            <w:tcW w:w="2443" w:type="dxa"/>
            <w:tcBorders>
              <w:top w:val="nil"/>
              <w:left w:val="nil"/>
              <w:bottom w:val="nil"/>
              <w:right w:val="nil"/>
            </w:tcBorders>
          </w:tcPr>
          <w:p w14:paraId="42CED4B4" w14:textId="77777777" w:rsidR="00E644D1" w:rsidRPr="002F6BCC" w:rsidRDefault="00E644D1" w:rsidP="002F6BCC">
            <w:pPr>
              <w:rPr>
                <w:b/>
                <w:bCs/>
                <w:lang w:eastAsia="en-US"/>
              </w:rPr>
            </w:pPr>
            <w:r w:rsidRPr="002F6BCC">
              <w:rPr>
                <w:b/>
                <w:bCs/>
                <w:lang w:eastAsia="en-US"/>
              </w:rPr>
              <w:t>Genotoxicity (including mutagenicity)</w:t>
            </w:r>
          </w:p>
        </w:tc>
        <w:tc>
          <w:tcPr>
            <w:tcW w:w="6206" w:type="dxa"/>
            <w:tcBorders>
              <w:top w:val="nil"/>
              <w:left w:val="nil"/>
              <w:bottom w:val="nil"/>
              <w:right w:val="nil"/>
            </w:tcBorders>
          </w:tcPr>
          <w:p w14:paraId="13C2CCBE" w14:textId="77777777" w:rsidR="00E644D1" w:rsidRDefault="00E644D1" w:rsidP="006C72FE">
            <w:pPr>
              <w:pStyle w:val="NormalWeb"/>
              <w:shd w:val="clear" w:color="auto" w:fill="FFFFFF"/>
              <w:spacing w:before="0" w:beforeAutospacing="0" w:after="120" w:afterAutospacing="0"/>
              <w:rPr>
                <w:b/>
                <w:bCs/>
                <w:szCs w:val="20"/>
                <w:lang w:eastAsia="en-US"/>
              </w:rPr>
            </w:pPr>
            <w:r w:rsidRPr="00EE1026">
              <w:rPr>
                <w:b/>
                <w:bCs/>
                <w:szCs w:val="20"/>
                <w:lang w:eastAsia="en-US"/>
              </w:rPr>
              <w:t>ECHA Registration Dossier 5169</w:t>
            </w:r>
          </w:p>
          <w:p w14:paraId="33355636"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i/>
                <w:iCs/>
                <w:kern w:val="28"/>
                <w:szCs w:val="20"/>
                <w:lang w:val="en-GB" w:eastAsia="en-US"/>
              </w:rPr>
              <w:t>In</w:t>
            </w:r>
            <w:r>
              <w:rPr>
                <w:i/>
                <w:iCs/>
                <w:kern w:val="28"/>
                <w:szCs w:val="20"/>
                <w:lang w:val="en-GB" w:eastAsia="en-US"/>
              </w:rPr>
              <w:t xml:space="preserve"> </w:t>
            </w:r>
            <w:r w:rsidRPr="00D56CA7">
              <w:rPr>
                <w:i/>
                <w:iCs/>
                <w:kern w:val="28"/>
                <w:szCs w:val="20"/>
                <w:lang w:val="en-GB" w:eastAsia="en-US"/>
              </w:rPr>
              <w:t>vitro</w:t>
            </w:r>
            <w:r w:rsidRPr="00D56CA7">
              <w:rPr>
                <w:kern w:val="28"/>
                <w:szCs w:val="20"/>
                <w:lang w:val="en-GB" w:eastAsia="en-US"/>
              </w:rPr>
              <w:t xml:space="preserve"> and </w:t>
            </w:r>
            <w:r w:rsidRPr="00D56CA7">
              <w:rPr>
                <w:i/>
                <w:iCs/>
                <w:kern w:val="28"/>
                <w:szCs w:val="20"/>
                <w:lang w:val="en-GB" w:eastAsia="en-US"/>
              </w:rPr>
              <w:t>in</w:t>
            </w:r>
            <w:r>
              <w:rPr>
                <w:i/>
                <w:iCs/>
                <w:kern w:val="28"/>
                <w:szCs w:val="20"/>
                <w:lang w:val="en-GB" w:eastAsia="en-US"/>
              </w:rPr>
              <w:t xml:space="preserve"> </w:t>
            </w:r>
            <w:r w:rsidRPr="00D56CA7">
              <w:rPr>
                <w:i/>
                <w:iCs/>
                <w:kern w:val="28"/>
                <w:szCs w:val="20"/>
                <w:lang w:val="en-GB" w:eastAsia="en-US"/>
              </w:rPr>
              <w:t>vivo</w:t>
            </w:r>
            <w:r w:rsidRPr="00D56CA7">
              <w:rPr>
                <w:kern w:val="28"/>
                <w:szCs w:val="20"/>
                <w:lang w:val="en-GB" w:eastAsia="en-US"/>
              </w:rPr>
              <w:t xml:space="preserve"> genotoxicity studies showed equivocal results.</w:t>
            </w:r>
          </w:p>
        </w:tc>
      </w:tr>
      <w:tr w:rsidR="00E644D1" w:rsidRPr="00D56CA7" w14:paraId="24EAEBB1" w14:textId="77777777" w:rsidTr="006C72FE">
        <w:tc>
          <w:tcPr>
            <w:tcW w:w="707" w:type="dxa"/>
            <w:tcBorders>
              <w:top w:val="nil"/>
              <w:left w:val="nil"/>
              <w:bottom w:val="nil"/>
              <w:right w:val="nil"/>
            </w:tcBorders>
          </w:tcPr>
          <w:p w14:paraId="4D06AB5D" w14:textId="77777777" w:rsidR="00E644D1" w:rsidRPr="00B1179D" w:rsidRDefault="00E644D1" w:rsidP="006C72FE">
            <w:pPr>
              <w:rPr>
                <w:rFonts w:eastAsia="Times New Roman"/>
                <w:b/>
                <w:szCs w:val="20"/>
                <w:lang w:eastAsia="en-US"/>
              </w:rPr>
            </w:pPr>
            <w:r w:rsidRPr="00B1179D">
              <w:rPr>
                <w:rFonts w:eastAsia="Times New Roman"/>
                <w:b/>
                <w:szCs w:val="20"/>
                <w:lang w:eastAsia="en-US"/>
              </w:rPr>
              <w:t>2.2.4</w:t>
            </w:r>
          </w:p>
        </w:tc>
        <w:tc>
          <w:tcPr>
            <w:tcW w:w="2443" w:type="dxa"/>
            <w:tcBorders>
              <w:top w:val="nil"/>
              <w:left w:val="nil"/>
              <w:bottom w:val="nil"/>
              <w:right w:val="nil"/>
            </w:tcBorders>
          </w:tcPr>
          <w:p w14:paraId="13E8FB36" w14:textId="77777777" w:rsidR="00E644D1" w:rsidRPr="002F6BCC" w:rsidRDefault="00E644D1" w:rsidP="002F6BCC">
            <w:pPr>
              <w:rPr>
                <w:b/>
                <w:bCs/>
                <w:lang w:eastAsia="en-US"/>
              </w:rPr>
            </w:pPr>
            <w:r w:rsidRPr="002F6BCC">
              <w:rPr>
                <w:b/>
                <w:bCs/>
                <w:lang w:eastAsia="en-US"/>
              </w:rPr>
              <w:t>Long term toxicity and carcinogenicity</w:t>
            </w:r>
          </w:p>
        </w:tc>
        <w:tc>
          <w:tcPr>
            <w:tcW w:w="6206" w:type="dxa"/>
            <w:tcBorders>
              <w:top w:val="nil"/>
              <w:left w:val="nil"/>
              <w:bottom w:val="nil"/>
              <w:right w:val="nil"/>
            </w:tcBorders>
          </w:tcPr>
          <w:p w14:paraId="6BF9F3B9" w14:textId="77777777" w:rsidR="00E644D1" w:rsidRDefault="00E644D1" w:rsidP="006C72FE">
            <w:pPr>
              <w:pStyle w:val="NormalWeb"/>
              <w:shd w:val="clear" w:color="auto" w:fill="FFFFFF"/>
              <w:spacing w:before="0" w:beforeAutospacing="0" w:after="120" w:afterAutospacing="0"/>
              <w:rPr>
                <w:kern w:val="28"/>
                <w:szCs w:val="20"/>
                <w:lang w:val="en-GB" w:eastAsia="en-US"/>
              </w:rPr>
            </w:pPr>
            <w:r w:rsidRPr="00EE1026">
              <w:rPr>
                <w:b/>
                <w:bCs/>
                <w:szCs w:val="20"/>
                <w:lang w:eastAsia="en-US"/>
              </w:rPr>
              <w:t>ECHA Registration Dossier 5169</w:t>
            </w:r>
          </w:p>
          <w:p w14:paraId="6F07E761" w14:textId="77777777" w:rsidR="00E644D1"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The evidence for a mutagenic or carcinogenic potential of Hg in both animal (oral exposure) and epidemiological studies (occupational inhalation exposure) is equivocal, and it is so far lacking in humans at low exposure concentrations &lt; 50 µg/g creatinine in urine. The mutagenic or carcinogenic potential of Hg seems to be related to metal induced oxidative stress and thus, if a potential is present in humans, a threshold effects is hypothetically possible.</w:t>
            </w:r>
          </w:p>
          <w:p w14:paraId="1D447917" w14:textId="77777777" w:rsidR="00E644D1" w:rsidRPr="0091214A" w:rsidRDefault="00E644D1" w:rsidP="006C72FE">
            <w:pPr>
              <w:pStyle w:val="NormalWeb"/>
              <w:shd w:val="clear" w:color="auto" w:fill="FFFFFF"/>
              <w:spacing w:before="0" w:beforeAutospacing="0" w:after="120" w:afterAutospacing="0"/>
              <w:rPr>
                <w:b/>
                <w:bCs/>
                <w:kern w:val="28"/>
                <w:szCs w:val="20"/>
                <w:lang w:val="en-GB" w:eastAsia="en-US"/>
              </w:rPr>
            </w:pPr>
            <w:r w:rsidRPr="0091214A">
              <w:rPr>
                <w:b/>
                <w:bCs/>
                <w:kern w:val="28"/>
                <w:szCs w:val="20"/>
                <w:lang w:val="en-GB" w:eastAsia="en-US"/>
              </w:rPr>
              <w:t>IARC (1993)</w:t>
            </w:r>
          </w:p>
          <w:p w14:paraId="66E61CC7"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Metallic mercury is not classifiable as to its carcinogenicity to humans (Group 3)</w:t>
            </w:r>
          </w:p>
        </w:tc>
      </w:tr>
      <w:tr w:rsidR="00E644D1" w:rsidRPr="00B1179D" w14:paraId="5ADD3B10" w14:textId="77777777" w:rsidTr="006C72FE">
        <w:tc>
          <w:tcPr>
            <w:tcW w:w="707" w:type="dxa"/>
            <w:tcBorders>
              <w:top w:val="nil"/>
              <w:left w:val="nil"/>
              <w:bottom w:val="nil"/>
              <w:right w:val="nil"/>
            </w:tcBorders>
          </w:tcPr>
          <w:p w14:paraId="6360A044" w14:textId="77777777" w:rsidR="00E644D1" w:rsidRPr="00B1179D" w:rsidRDefault="00E644D1" w:rsidP="006C72FE">
            <w:pPr>
              <w:rPr>
                <w:rFonts w:eastAsia="Times New Roman"/>
                <w:b/>
                <w:szCs w:val="20"/>
                <w:lang w:eastAsia="en-US"/>
              </w:rPr>
            </w:pPr>
            <w:r w:rsidRPr="00B1179D">
              <w:rPr>
                <w:rFonts w:eastAsia="Times New Roman"/>
                <w:b/>
                <w:szCs w:val="20"/>
                <w:lang w:eastAsia="en-US"/>
              </w:rPr>
              <w:t>2.2.5</w:t>
            </w:r>
          </w:p>
        </w:tc>
        <w:tc>
          <w:tcPr>
            <w:tcW w:w="2443" w:type="dxa"/>
            <w:tcBorders>
              <w:top w:val="nil"/>
              <w:left w:val="nil"/>
              <w:bottom w:val="nil"/>
              <w:right w:val="nil"/>
            </w:tcBorders>
          </w:tcPr>
          <w:p w14:paraId="0CF14F09" w14:textId="77777777" w:rsidR="00E644D1" w:rsidRPr="002F6BCC" w:rsidRDefault="00E644D1" w:rsidP="002F6BCC">
            <w:pPr>
              <w:rPr>
                <w:b/>
                <w:bCs/>
                <w:lang w:eastAsia="en-US"/>
              </w:rPr>
            </w:pPr>
            <w:r w:rsidRPr="002F6BCC">
              <w:rPr>
                <w:b/>
                <w:bCs/>
                <w:lang w:eastAsia="en-US"/>
              </w:rPr>
              <w:t>Effects on reproduction</w:t>
            </w:r>
          </w:p>
        </w:tc>
        <w:tc>
          <w:tcPr>
            <w:tcW w:w="6206" w:type="dxa"/>
            <w:tcBorders>
              <w:top w:val="nil"/>
              <w:left w:val="nil"/>
              <w:bottom w:val="nil"/>
              <w:right w:val="nil"/>
            </w:tcBorders>
          </w:tcPr>
          <w:p w14:paraId="2071C930" w14:textId="77777777" w:rsidR="00E644D1" w:rsidRDefault="00E644D1" w:rsidP="006C72FE">
            <w:pPr>
              <w:pStyle w:val="NormalWeb"/>
              <w:shd w:val="clear" w:color="auto" w:fill="FFFFFF"/>
              <w:spacing w:before="0" w:beforeAutospacing="0" w:after="120" w:afterAutospacing="0"/>
              <w:rPr>
                <w:kern w:val="28"/>
                <w:szCs w:val="20"/>
                <w:lang w:val="en-GB" w:eastAsia="en-US"/>
              </w:rPr>
            </w:pPr>
            <w:r w:rsidRPr="00EE1026">
              <w:rPr>
                <w:b/>
                <w:bCs/>
                <w:szCs w:val="20"/>
                <w:lang w:eastAsia="en-US"/>
              </w:rPr>
              <w:t>ECHA Registration Dossier 5169</w:t>
            </w:r>
          </w:p>
          <w:p w14:paraId="484003C3" w14:textId="77777777" w:rsidR="00E644D1" w:rsidRPr="00B1179D" w:rsidRDefault="00E644D1" w:rsidP="006C72FE">
            <w:pPr>
              <w:pStyle w:val="NormalWeb"/>
              <w:shd w:val="clear" w:color="auto" w:fill="FFFFFF"/>
              <w:spacing w:before="0" w:beforeAutospacing="0" w:after="120" w:afterAutospacing="0"/>
              <w:rPr>
                <w:i/>
                <w:szCs w:val="20"/>
                <w:lang w:eastAsia="en-US"/>
              </w:rPr>
            </w:pPr>
            <w:r>
              <w:rPr>
                <w:kern w:val="28"/>
                <w:szCs w:val="20"/>
                <w:lang w:val="en-GB" w:eastAsia="en-US"/>
              </w:rPr>
              <w:t>T</w:t>
            </w:r>
            <w:r w:rsidRPr="00D56CA7">
              <w:rPr>
                <w:kern w:val="28"/>
                <w:szCs w:val="20"/>
                <w:lang w:val="en-GB" w:eastAsia="en-US"/>
              </w:rPr>
              <w:t>oxicokinetic animal data has shown that mercury does penetrate the placental barrier and accumulates in the f</w:t>
            </w:r>
            <w:r w:rsidR="001C665C">
              <w:rPr>
                <w:kern w:val="28"/>
                <w:szCs w:val="20"/>
                <w:lang w:val="en-GB" w:eastAsia="en-US"/>
              </w:rPr>
              <w:t>o</w:t>
            </w:r>
            <w:r w:rsidRPr="00D56CA7">
              <w:rPr>
                <w:kern w:val="28"/>
                <w:szCs w:val="20"/>
                <w:lang w:val="en-GB" w:eastAsia="en-US"/>
              </w:rPr>
              <w:t>etus when the mother is exposed to metallic Hg vapour. Even though there are inter-species differences, limited epidemiological studies in humans show that there is a transfer from mother to f</w:t>
            </w:r>
            <w:r w:rsidR="001C665C">
              <w:rPr>
                <w:kern w:val="28"/>
                <w:szCs w:val="20"/>
                <w:lang w:val="en-GB" w:eastAsia="en-US"/>
              </w:rPr>
              <w:t>o</w:t>
            </w:r>
            <w:r w:rsidRPr="00D56CA7">
              <w:rPr>
                <w:kern w:val="28"/>
                <w:szCs w:val="20"/>
                <w:lang w:val="en-GB" w:eastAsia="en-US"/>
              </w:rPr>
              <w:t>etus during Hg vapour exposure. Only a few epidemiological studies have been performed and these were mostly in the field of dentistry. As a whole, the limited data presently available provide no conclusive evidence for occupational exposure to mercury vapour being harmful to reproduction. There is no link to an increase in teratogenic or other adverse pregnancy outcomes</w:t>
            </w:r>
            <w:r>
              <w:rPr>
                <w:rFonts w:ascii="Roboto" w:hAnsi="Roboto"/>
                <w:color w:val="799096"/>
                <w:szCs w:val="20"/>
                <w:shd w:val="clear" w:color="auto" w:fill="FFFFFF"/>
              </w:rPr>
              <w:t>.</w:t>
            </w:r>
          </w:p>
        </w:tc>
      </w:tr>
      <w:tr w:rsidR="00E644D1" w:rsidRPr="00D56CA7" w14:paraId="7EA7E0DD" w14:textId="77777777" w:rsidTr="006C72FE">
        <w:tc>
          <w:tcPr>
            <w:tcW w:w="707" w:type="dxa"/>
            <w:tcBorders>
              <w:top w:val="nil"/>
              <w:left w:val="nil"/>
              <w:bottom w:val="nil"/>
              <w:right w:val="nil"/>
            </w:tcBorders>
          </w:tcPr>
          <w:p w14:paraId="742FABE0" w14:textId="77777777" w:rsidR="00E644D1" w:rsidRPr="00B1179D" w:rsidRDefault="00E644D1" w:rsidP="006C72FE">
            <w:pPr>
              <w:rPr>
                <w:rFonts w:eastAsia="Times New Roman"/>
                <w:b/>
                <w:szCs w:val="20"/>
                <w:lang w:eastAsia="en-US"/>
              </w:rPr>
            </w:pPr>
            <w:r w:rsidRPr="00B1179D">
              <w:rPr>
                <w:rFonts w:eastAsia="Times New Roman"/>
                <w:b/>
                <w:szCs w:val="20"/>
                <w:lang w:eastAsia="en-US"/>
              </w:rPr>
              <w:t>2.2.6</w:t>
            </w:r>
          </w:p>
        </w:tc>
        <w:tc>
          <w:tcPr>
            <w:tcW w:w="2443" w:type="dxa"/>
            <w:tcBorders>
              <w:top w:val="nil"/>
              <w:left w:val="nil"/>
              <w:bottom w:val="nil"/>
              <w:right w:val="nil"/>
            </w:tcBorders>
          </w:tcPr>
          <w:p w14:paraId="63E1B31F" w14:textId="77777777" w:rsidR="00E644D1" w:rsidRPr="002F6BCC" w:rsidRDefault="00E644D1" w:rsidP="002F6BCC">
            <w:pPr>
              <w:rPr>
                <w:b/>
                <w:bCs/>
                <w:lang w:eastAsia="en-US"/>
              </w:rPr>
            </w:pPr>
            <w:r w:rsidRPr="002F6BCC">
              <w:rPr>
                <w:b/>
                <w:bCs/>
                <w:lang w:eastAsia="en-US"/>
              </w:rPr>
              <w:t>Neurotoxicity/ delayed neurotoxicity, Special studies where available</w:t>
            </w:r>
          </w:p>
        </w:tc>
        <w:tc>
          <w:tcPr>
            <w:tcW w:w="6206" w:type="dxa"/>
            <w:tcBorders>
              <w:top w:val="nil"/>
              <w:left w:val="nil"/>
              <w:bottom w:val="nil"/>
              <w:right w:val="nil"/>
            </w:tcBorders>
          </w:tcPr>
          <w:p w14:paraId="64A1AB1D" w14:textId="77777777" w:rsidR="00E644D1" w:rsidRPr="00EE1026" w:rsidRDefault="00E644D1" w:rsidP="006C72FE">
            <w:pPr>
              <w:spacing w:line="183" w:lineRule="exact"/>
              <w:ind w:right="216"/>
              <w:textAlignment w:val="baseline"/>
              <w:rPr>
                <w:rFonts w:eastAsia="Times New Roman"/>
                <w:b/>
                <w:bCs/>
                <w:kern w:val="28"/>
                <w:szCs w:val="20"/>
                <w:lang w:eastAsia="en-US"/>
              </w:rPr>
            </w:pPr>
            <w:r>
              <w:rPr>
                <w:rFonts w:eastAsia="Times New Roman"/>
                <w:b/>
                <w:bCs/>
                <w:kern w:val="28"/>
                <w:szCs w:val="20"/>
                <w:lang w:eastAsia="en-US"/>
              </w:rPr>
              <w:t>E</w:t>
            </w:r>
            <w:r w:rsidRPr="00EE1026">
              <w:rPr>
                <w:rFonts w:eastAsia="Times New Roman"/>
                <w:b/>
                <w:bCs/>
                <w:kern w:val="28"/>
                <w:szCs w:val="20"/>
                <w:lang w:eastAsia="en-US"/>
              </w:rPr>
              <w:t>uropean Union</w:t>
            </w:r>
          </w:p>
          <w:p w14:paraId="292E653B" w14:textId="77777777" w:rsidR="00E644D1" w:rsidRPr="00F65D1A" w:rsidRDefault="00E644D1" w:rsidP="006C72FE">
            <w:pPr>
              <w:pStyle w:val="NormalWeb"/>
              <w:shd w:val="clear" w:color="auto" w:fill="FFFFFF"/>
              <w:spacing w:before="0" w:beforeAutospacing="0" w:after="120" w:afterAutospacing="0"/>
              <w:rPr>
                <w:kern w:val="28"/>
                <w:szCs w:val="20"/>
                <w:lang w:val="en-GB" w:eastAsia="en-US"/>
              </w:rPr>
            </w:pPr>
            <w:r w:rsidRPr="00F65D1A">
              <w:rPr>
                <w:kern w:val="28"/>
                <w:szCs w:val="20"/>
                <w:lang w:val="en-GB" w:eastAsia="en-US"/>
              </w:rPr>
              <w:t>Methylmercury is highly toxic especially to the nervous system. Methylmercury toxicity has been demonstrated at low exposure levels. In adults, the first effects at the lowest doses are non</w:t>
            </w:r>
            <w:r w:rsidRPr="00F65D1A">
              <w:rPr>
                <w:kern w:val="28"/>
                <w:szCs w:val="20"/>
                <w:lang w:val="en-GB" w:eastAsia="en-US"/>
              </w:rPr>
              <w:softHyphen/>
              <w:t xml:space="preserve">specific symptoms such as </w:t>
            </w:r>
            <w:proofErr w:type="spellStart"/>
            <w:r w:rsidRPr="00F65D1A">
              <w:rPr>
                <w:kern w:val="28"/>
                <w:szCs w:val="20"/>
                <w:lang w:val="en-GB" w:eastAsia="en-US"/>
              </w:rPr>
              <w:t>paresthesia</w:t>
            </w:r>
            <w:proofErr w:type="spellEnd"/>
            <w:r w:rsidRPr="00F65D1A">
              <w:rPr>
                <w:kern w:val="28"/>
                <w:szCs w:val="20"/>
                <w:lang w:val="en-GB" w:eastAsia="en-US"/>
              </w:rPr>
              <w:t xml:space="preserve">, malaise and blurred vision. This may progress to cerebellar ataxia (clumsiness or unsteadiness), dysarthria (speech disorder), constriction of the visual fields and loss of hearing. With increasing exposure there are signs such as construction of the visual field, deafness, </w:t>
            </w:r>
            <w:r w:rsidRPr="00F65D1A">
              <w:rPr>
                <w:kern w:val="28"/>
                <w:szCs w:val="20"/>
                <w:lang w:val="en-GB" w:eastAsia="en-US"/>
              </w:rPr>
              <w:lastRenderedPageBreak/>
              <w:t>dysarthria and ataxia, and ultimately leading to coma and death</w:t>
            </w:r>
            <w:r w:rsidR="00822D17">
              <w:rPr>
                <w:kern w:val="28"/>
                <w:szCs w:val="20"/>
                <w:lang w:val="en-GB" w:eastAsia="en-US"/>
              </w:rPr>
              <w:t>.</w:t>
            </w:r>
          </w:p>
          <w:p w14:paraId="73EE5F46" w14:textId="77777777" w:rsidR="00E644D1" w:rsidRPr="00F65D1A" w:rsidRDefault="00E644D1" w:rsidP="006C72FE">
            <w:pPr>
              <w:pStyle w:val="NormalWeb"/>
              <w:shd w:val="clear" w:color="auto" w:fill="FFFFFF"/>
              <w:spacing w:before="0" w:beforeAutospacing="0" w:after="120" w:afterAutospacing="0"/>
              <w:rPr>
                <w:kern w:val="28"/>
                <w:szCs w:val="20"/>
                <w:lang w:val="en-GB" w:eastAsia="en-US"/>
              </w:rPr>
            </w:pPr>
            <w:r w:rsidRPr="00F65D1A">
              <w:rPr>
                <w:kern w:val="28"/>
                <w:szCs w:val="20"/>
                <w:lang w:val="en-GB" w:eastAsia="en-US"/>
              </w:rPr>
              <w:t>Methylmercury exhibits severe neurodevelopmental effects. It passes both the placental barrier and the blood-brain barrier. The developing nervous system in unborn and newborn children is the most sensitive target organ. The effects can take place even at exposure levels where the mother remains healthy or suffers only minor symptoms due to mercury exposure. At lower exposure levels, the effects may only become apparent later during the development as psychomotor and mental impairment and persistent pathological reflexes. In infants exposed to high levels of methylmercury during mothers pregnancy, the clinical picture can be indistinguishable from cerebral palsy caused by other factors, the main pattern being microcephaly, hyperreflexia and gross motor and mental impairment, and in rare cases, blindness or deafness. Some studies suggest even small increases in methylmercury exposures may cause adverse effects on the cardiovascular system, thereby leading to increased mortality.</w:t>
            </w:r>
          </w:p>
          <w:p w14:paraId="1AC9EE47" w14:textId="77777777" w:rsidR="00E644D1" w:rsidRPr="00F65D1A" w:rsidRDefault="00E644D1" w:rsidP="006C72FE">
            <w:pPr>
              <w:pStyle w:val="NormalWeb"/>
              <w:shd w:val="clear" w:color="auto" w:fill="FFFFFF"/>
              <w:spacing w:before="0" w:beforeAutospacing="0" w:after="120" w:afterAutospacing="0"/>
              <w:rPr>
                <w:kern w:val="28"/>
                <w:szCs w:val="20"/>
                <w:lang w:val="en-GB" w:eastAsia="en-US"/>
              </w:rPr>
            </w:pPr>
            <w:r w:rsidRPr="00F65D1A">
              <w:rPr>
                <w:kern w:val="28"/>
                <w:szCs w:val="20"/>
                <w:lang w:val="en-GB" w:eastAsia="en-US"/>
              </w:rPr>
              <w:t>The examples of mercury poisoning in Japan and Iraq have shown on a population scale the severe neurological effects of methylmercury to humans.</w:t>
            </w:r>
          </w:p>
          <w:p w14:paraId="4FC6D85C" w14:textId="77777777" w:rsidR="00E644D1" w:rsidRDefault="00E644D1" w:rsidP="006C72FE">
            <w:pPr>
              <w:pStyle w:val="NormalWeb"/>
              <w:shd w:val="clear" w:color="auto" w:fill="FFFFFF"/>
              <w:spacing w:before="0" w:beforeAutospacing="0" w:after="120" w:afterAutospacing="0"/>
              <w:rPr>
                <w:kern w:val="28"/>
                <w:szCs w:val="20"/>
                <w:lang w:val="en-GB" w:eastAsia="en-US"/>
              </w:rPr>
            </w:pPr>
            <w:r w:rsidRPr="00EE1026">
              <w:rPr>
                <w:b/>
                <w:bCs/>
                <w:szCs w:val="20"/>
                <w:lang w:eastAsia="en-US"/>
              </w:rPr>
              <w:t>ECHA Registration Dossier 5169</w:t>
            </w:r>
          </w:p>
          <w:p w14:paraId="1A670E9A" w14:textId="77777777" w:rsidR="00E644D1" w:rsidRPr="00D56CA7" w:rsidRDefault="00E644D1" w:rsidP="006C72FE">
            <w:pPr>
              <w:pStyle w:val="NormalWeb"/>
              <w:shd w:val="clear" w:color="auto" w:fill="FFFFFF"/>
              <w:spacing w:before="0" w:beforeAutospacing="0" w:after="120" w:afterAutospacing="0"/>
              <w:rPr>
                <w:kern w:val="28"/>
                <w:szCs w:val="20"/>
                <w:lang w:val="en-GB" w:eastAsia="en-US"/>
              </w:rPr>
            </w:pPr>
            <w:r w:rsidRPr="00D56CA7">
              <w:rPr>
                <w:kern w:val="28"/>
                <w:szCs w:val="20"/>
                <w:lang w:val="en-GB" w:eastAsia="en-US"/>
              </w:rPr>
              <w:t>Marked cellular degeneration and widespread necrosis were observed in the brains of rabbits following exposures to elemental mercury vapour at 28.8 mg/m3 for durations ranging from 2 to 30 h, whereas exposure of rabbits to mercury vapour at 6 mg/m3 for periods ranging from 1 to 11 weeks produced effects ranging from mild, unspecified pathological changes to marked cellular degeneration and some necrosis in the brain. More serious degenerative changes were observed at longer exposure durations (i.e., 8 and 11 weeks). Mild to moderate pathological changes were observed in the brains after exposure to 0.86 mg/m</w:t>
            </w:r>
            <w:r w:rsidRPr="004F7C6B">
              <w:rPr>
                <w:kern w:val="28"/>
                <w:szCs w:val="20"/>
                <w:vertAlign w:val="superscript"/>
                <w:lang w:val="en-GB" w:eastAsia="en-US"/>
              </w:rPr>
              <w:t>3</w:t>
            </w:r>
            <w:r w:rsidRPr="00D56CA7">
              <w:rPr>
                <w:kern w:val="28"/>
                <w:szCs w:val="20"/>
                <w:lang w:val="en-GB" w:eastAsia="en-US"/>
              </w:rPr>
              <w:t xml:space="preserve"> for 12 weeks. </w:t>
            </w:r>
            <w:r>
              <w:rPr>
                <w:kern w:val="28"/>
                <w:szCs w:val="20"/>
                <w:lang w:val="en-GB" w:eastAsia="en-US"/>
              </w:rPr>
              <w:t>S</w:t>
            </w:r>
            <w:r w:rsidRPr="00D56CA7">
              <w:rPr>
                <w:kern w:val="28"/>
                <w:szCs w:val="20"/>
                <w:lang w:val="en-GB" w:eastAsia="en-US"/>
              </w:rPr>
              <w:t xml:space="preserve">light tremors and clonus </w:t>
            </w:r>
            <w:r>
              <w:rPr>
                <w:kern w:val="28"/>
                <w:szCs w:val="20"/>
                <w:lang w:val="en-GB" w:eastAsia="en-US"/>
              </w:rPr>
              <w:t xml:space="preserve">were observed </w:t>
            </w:r>
            <w:r w:rsidRPr="00D56CA7">
              <w:rPr>
                <w:kern w:val="28"/>
                <w:szCs w:val="20"/>
                <w:lang w:val="en-GB" w:eastAsia="en-US"/>
              </w:rPr>
              <w:t>in two of six rabbits exposed for 13 weeks to an elemental mercury vapour concentration of 4 mg/m</w:t>
            </w:r>
            <w:r w:rsidRPr="00822D17">
              <w:rPr>
                <w:kern w:val="28"/>
                <w:szCs w:val="20"/>
                <w:vertAlign w:val="superscript"/>
                <w:lang w:val="en-GB" w:eastAsia="en-US"/>
              </w:rPr>
              <w:t>3</w:t>
            </w:r>
            <w:r w:rsidRPr="00D56CA7">
              <w:rPr>
                <w:kern w:val="28"/>
                <w:szCs w:val="20"/>
                <w:lang w:val="en-GB" w:eastAsia="en-US"/>
              </w:rPr>
              <w:t xml:space="preserve">. </w:t>
            </w:r>
            <w:proofErr w:type="spellStart"/>
            <w:r w:rsidRPr="00D56CA7">
              <w:rPr>
                <w:kern w:val="28"/>
                <w:szCs w:val="20"/>
                <w:lang w:val="en-GB" w:eastAsia="en-US"/>
              </w:rPr>
              <w:t>Neurobehavioural</w:t>
            </w:r>
            <w:proofErr w:type="spellEnd"/>
            <w:r w:rsidRPr="00D56CA7">
              <w:rPr>
                <w:kern w:val="28"/>
                <w:szCs w:val="20"/>
                <w:lang w:val="en-GB" w:eastAsia="en-US"/>
              </w:rPr>
              <w:t xml:space="preserve"> deficits </w:t>
            </w:r>
            <w:r>
              <w:rPr>
                <w:kern w:val="28"/>
                <w:szCs w:val="20"/>
                <w:lang w:val="en-GB" w:eastAsia="en-US"/>
              </w:rPr>
              <w:t xml:space="preserve">were also </w:t>
            </w:r>
            <w:r w:rsidRPr="00D56CA7">
              <w:rPr>
                <w:kern w:val="28"/>
                <w:szCs w:val="20"/>
                <w:lang w:val="en-GB" w:eastAsia="en-US"/>
              </w:rPr>
              <w:t>observed in the offspring of mother monkeys and rats that were exposed to mercury vapours during gestation</w:t>
            </w:r>
            <w:r>
              <w:rPr>
                <w:kern w:val="28"/>
                <w:szCs w:val="20"/>
                <w:lang w:val="en-GB" w:eastAsia="en-US"/>
              </w:rPr>
              <w:t>.</w:t>
            </w:r>
            <w:r w:rsidRPr="00D56CA7">
              <w:rPr>
                <w:kern w:val="28"/>
                <w:szCs w:val="20"/>
                <w:lang w:val="en-GB" w:eastAsia="en-US"/>
              </w:rPr>
              <w:t xml:space="preserve"> Exposure of neonatal rats to elemental mercury vapour at 0.05 mg/m</w:t>
            </w:r>
            <w:r w:rsidRPr="004F7C6B">
              <w:rPr>
                <w:kern w:val="28"/>
                <w:szCs w:val="20"/>
                <w:vertAlign w:val="superscript"/>
                <w:lang w:val="en-GB" w:eastAsia="en-US"/>
              </w:rPr>
              <w:t>3</w:t>
            </w:r>
            <w:r w:rsidRPr="00D56CA7">
              <w:rPr>
                <w:kern w:val="28"/>
                <w:szCs w:val="20"/>
                <w:lang w:val="en-GB" w:eastAsia="en-US"/>
              </w:rPr>
              <w:t xml:space="preserve"> for 1 or 4 h/day for 1 week during a period of rapid brain growth (postpartum days 11–17) resulted in subtle behavioural changes when the rats were tested at 4 and 6 months of age. The severity of effect was directly related to the duration of individual exposures.</w:t>
            </w:r>
          </w:p>
        </w:tc>
      </w:tr>
      <w:tr w:rsidR="00E644D1" w:rsidRPr="00DD56BF" w14:paraId="532747AF" w14:textId="77777777" w:rsidTr="006C72FE">
        <w:tc>
          <w:tcPr>
            <w:tcW w:w="707" w:type="dxa"/>
            <w:tcBorders>
              <w:top w:val="nil"/>
              <w:left w:val="nil"/>
              <w:bottom w:val="nil"/>
              <w:right w:val="nil"/>
            </w:tcBorders>
          </w:tcPr>
          <w:p w14:paraId="096A83F6"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lastRenderedPageBreak/>
              <w:t>2.2.7</w:t>
            </w:r>
          </w:p>
        </w:tc>
        <w:tc>
          <w:tcPr>
            <w:tcW w:w="2443" w:type="dxa"/>
            <w:tcBorders>
              <w:top w:val="nil"/>
              <w:left w:val="nil"/>
              <w:bottom w:val="nil"/>
              <w:right w:val="nil"/>
            </w:tcBorders>
          </w:tcPr>
          <w:p w14:paraId="565529A4" w14:textId="77777777" w:rsidR="00E644D1" w:rsidRPr="002F6BCC" w:rsidRDefault="00E644D1" w:rsidP="002F6BCC">
            <w:pPr>
              <w:rPr>
                <w:b/>
                <w:bCs/>
                <w:lang w:eastAsia="en-US"/>
              </w:rPr>
            </w:pPr>
            <w:r w:rsidRPr="002F6BCC">
              <w:rPr>
                <w:b/>
                <w:bCs/>
                <w:lang w:eastAsia="en-US"/>
              </w:rPr>
              <w:t>Summary of mammalian toxicity and overall evaluation</w:t>
            </w:r>
          </w:p>
        </w:tc>
        <w:tc>
          <w:tcPr>
            <w:tcW w:w="6206" w:type="dxa"/>
            <w:tcBorders>
              <w:top w:val="nil"/>
              <w:left w:val="nil"/>
              <w:bottom w:val="nil"/>
              <w:right w:val="nil"/>
            </w:tcBorders>
          </w:tcPr>
          <w:p w14:paraId="1C2B580A" w14:textId="77777777" w:rsidR="00E644D1" w:rsidRPr="00DD56BF" w:rsidRDefault="00E644D1" w:rsidP="006C72FE">
            <w:pPr>
              <w:pStyle w:val="NormalWeb"/>
              <w:shd w:val="clear" w:color="auto" w:fill="FFFFFF"/>
              <w:spacing w:before="0" w:beforeAutospacing="0" w:after="120" w:afterAutospacing="0"/>
              <w:rPr>
                <w:b/>
                <w:bCs/>
                <w:kern w:val="28"/>
                <w:szCs w:val="20"/>
                <w:lang w:val="en-GB" w:eastAsia="en-US"/>
              </w:rPr>
            </w:pPr>
            <w:r w:rsidRPr="00DD56BF">
              <w:rPr>
                <w:b/>
                <w:bCs/>
                <w:kern w:val="28"/>
                <w:szCs w:val="20"/>
                <w:lang w:val="en-GB" w:eastAsia="en-US"/>
              </w:rPr>
              <w:t>WHO 2021</w:t>
            </w:r>
          </w:p>
          <w:p w14:paraId="45DD3AD8" w14:textId="77777777" w:rsidR="00E644D1" w:rsidRPr="00DD56BF" w:rsidRDefault="00E644D1" w:rsidP="006C72FE">
            <w:pPr>
              <w:pStyle w:val="NormalWeb"/>
              <w:shd w:val="clear" w:color="auto" w:fill="FFFFFF"/>
              <w:spacing w:before="0" w:beforeAutospacing="0" w:after="120" w:afterAutospacing="0"/>
              <w:rPr>
                <w:kern w:val="28"/>
                <w:szCs w:val="20"/>
                <w:lang w:val="en-GB" w:eastAsia="en-US"/>
              </w:rPr>
            </w:pPr>
            <w:r w:rsidRPr="00DD56BF">
              <w:rPr>
                <w:kern w:val="28"/>
                <w:szCs w:val="20"/>
                <w:lang w:val="en-GB" w:eastAsia="en-US"/>
              </w:rPr>
              <w:t>Elemental mercury and methylmercury are toxic to the central and peripheral nervous system. The inhalation of mercury vapour can produce harmful effects on the nervous, digestive and immune systems, lungs and kidneys, and may be fatal. The inorganic salts of mercury are corrosive to the skin, eyes and gastrointestinal tract, and may induce kidney toxicity if ingested. Neurological and behavioural disorders may be observed after inhalation, ingestion or dermal application of different mercury compounds. Symptoms include tremors, insomnia, memory loss, neuromuscular effects, headaches and cognitive and motor dysfunction. Mild subclinical signs of central nervous system toxicity can be seen in workers exposed to an elemental mercury level in the air of 20 µg/m</w:t>
            </w:r>
            <w:r w:rsidRPr="004F7C6B">
              <w:rPr>
                <w:kern w:val="28"/>
                <w:szCs w:val="20"/>
                <w:vertAlign w:val="superscript"/>
                <w:lang w:val="en-GB" w:eastAsia="en-US"/>
              </w:rPr>
              <w:t>3</w:t>
            </w:r>
            <w:r w:rsidRPr="00DD56BF">
              <w:rPr>
                <w:kern w:val="28"/>
                <w:szCs w:val="20"/>
                <w:lang w:val="en-GB" w:eastAsia="en-US"/>
              </w:rPr>
              <w:t xml:space="preserve"> or more for several years. Kidney and immune effects have been reported. There is no conclusive evidence linking mercury exposure to cancer in humans. Children are especially vulnerable and may be exposed directly by eating contaminated fish. Methylmercury bioaccumulated in fish and consumed by pregnant women may lead to neurodevelopmental problems in the developing foetus. Transplacental exposure is the most dangerous, as the </w:t>
            </w:r>
            <w:proofErr w:type="spellStart"/>
            <w:r w:rsidRPr="00DD56BF">
              <w:rPr>
                <w:kern w:val="28"/>
                <w:szCs w:val="20"/>
                <w:lang w:val="en-GB" w:eastAsia="en-US"/>
              </w:rPr>
              <w:t>fetal</w:t>
            </w:r>
            <w:proofErr w:type="spellEnd"/>
            <w:r w:rsidRPr="00DD56BF">
              <w:rPr>
                <w:kern w:val="28"/>
                <w:szCs w:val="20"/>
                <w:lang w:val="en-GB" w:eastAsia="en-US"/>
              </w:rPr>
              <w:t xml:space="preserve"> brain is very sensitive. Neurological symptoms include intellectual disability, seizures, vision and hearing loss, delayed development, language disorders and memory loss. In infants and young children, a condition called acrodynia (or “pink disease”), characterized </w:t>
            </w:r>
            <w:r w:rsidRPr="00DD56BF">
              <w:rPr>
                <w:kern w:val="28"/>
                <w:szCs w:val="20"/>
                <w:lang w:val="en-GB" w:eastAsia="en-US"/>
              </w:rPr>
              <w:lastRenderedPageBreak/>
              <w:t>by red and painful extremities with local swelling and intense itching, and which can be accompanied by insomnia, irritability, and sensitivity to light, has been reported to result from chronic mercury exposure</w:t>
            </w:r>
          </w:p>
        </w:tc>
      </w:tr>
    </w:tbl>
    <w:p w14:paraId="24F5EEE6" w14:textId="77777777" w:rsidR="00E644D1" w:rsidRPr="00266BB6" w:rsidRDefault="00E644D1" w:rsidP="00266BB6">
      <w:pPr>
        <w:pStyle w:val="Heading2"/>
      </w:pPr>
      <w:bookmarkStart w:id="22" w:name="_Toc154010824"/>
      <w:r w:rsidRPr="00266BB6">
        <w:lastRenderedPageBreak/>
        <w:t>3.</w:t>
      </w:r>
      <w:r w:rsidRPr="00266BB6">
        <w:tab/>
        <w:t>Human exposure/risk evaluation</w:t>
      </w:r>
      <w:bookmarkEnd w:id="22"/>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2443"/>
        <w:gridCol w:w="6206"/>
      </w:tblGrid>
      <w:tr w:rsidR="00E644D1" w:rsidRPr="00744948" w14:paraId="723E348D" w14:textId="77777777" w:rsidTr="00E644D1">
        <w:tc>
          <w:tcPr>
            <w:tcW w:w="707" w:type="dxa"/>
            <w:tcBorders>
              <w:top w:val="nil"/>
              <w:left w:val="nil"/>
              <w:bottom w:val="nil"/>
              <w:right w:val="nil"/>
            </w:tcBorders>
          </w:tcPr>
          <w:p w14:paraId="09DABDBB"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3.1</w:t>
            </w:r>
          </w:p>
        </w:tc>
        <w:tc>
          <w:tcPr>
            <w:tcW w:w="2443" w:type="dxa"/>
            <w:tcBorders>
              <w:top w:val="nil"/>
              <w:left w:val="nil"/>
              <w:bottom w:val="nil"/>
              <w:right w:val="nil"/>
            </w:tcBorders>
          </w:tcPr>
          <w:p w14:paraId="27AD700C" w14:textId="77777777" w:rsidR="00E644D1" w:rsidRPr="002F6BCC" w:rsidRDefault="00E644D1" w:rsidP="002F6BCC">
            <w:pPr>
              <w:rPr>
                <w:b/>
                <w:bCs/>
                <w:lang w:eastAsia="en-US"/>
              </w:rPr>
            </w:pPr>
            <w:r w:rsidRPr="002F6BCC">
              <w:rPr>
                <w:b/>
                <w:bCs/>
                <w:lang w:eastAsia="en-US"/>
              </w:rPr>
              <w:t>Food</w:t>
            </w:r>
          </w:p>
        </w:tc>
        <w:tc>
          <w:tcPr>
            <w:tcW w:w="6206" w:type="dxa"/>
            <w:tcBorders>
              <w:top w:val="nil"/>
              <w:left w:val="nil"/>
              <w:bottom w:val="nil"/>
              <w:right w:val="nil"/>
            </w:tcBorders>
          </w:tcPr>
          <w:p w14:paraId="43B05047" w14:textId="77777777" w:rsidR="00E644D1" w:rsidRPr="0091214A" w:rsidRDefault="00E644D1" w:rsidP="006C72FE">
            <w:pPr>
              <w:pStyle w:val="NormalWeb"/>
              <w:shd w:val="clear" w:color="auto" w:fill="FFFFFF"/>
              <w:spacing w:before="0" w:beforeAutospacing="0" w:after="120" w:afterAutospacing="0"/>
              <w:rPr>
                <w:b/>
                <w:bCs/>
                <w:kern w:val="28"/>
                <w:szCs w:val="20"/>
                <w:lang w:val="en-GB" w:eastAsia="en-US"/>
              </w:rPr>
            </w:pPr>
            <w:r w:rsidRPr="0091214A">
              <w:rPr>
                <w:b/>
                <w:bCs/>
                <w:kern w:val="28"/>
                <w:szCs w:val="20"/>
                <w:lang w:val="en-GB" w:eastAsia="en-US"/>
              </w:rPr>
              <w:t>WHO (2003)</w:t>
            </w:r>
          </w:p>
          <w:p w14:paraId="5E049E6A" w14:textId="77777777" w:rsidR="00E644D1" w:rsidRPr="00744948" w:rsidRDefault="00E644D1" w:rsidP="006C72FE">
            <w:pPr>
              <w:pStyle w:val="NormalWeb"/>
              <w:shd w:val="clear" w:color="auto" w:fill="FFFFFF"/>
              <w:spacing w:before="0" w:beforeAutospacing="0" w:after="120" w:afterAutospacing="0"/>
              <w:rPr>
                <w:kern w:val="28"/>
                <w:szCs w:val="20"/>
                <w:lang w:val="en-GB" w:eastAsia="en-US"/>
              </w:rPr>
            </w:pPr>
            <w:r w:rsidRPr="000B7D6D">
              <w:rPr>
                <w:kern w:val="28"/>
                <w:szCs w:val="20"/>
                <w:lang w:val="en-GB" w:eastAsia="en-US"/>
              </w:rPr>
              <w:t>Eating contaminated fish and shellfish is the main source of methylmercury exposure, especially in populations that rely heavily on consumption of predatory fish. Cooking does not eliminate mercury from fish. FAO and WHO guidance exists for national food safety authorities to assess the net health benefits or risks of fish consumption, taking into account the existing information on the benefits of eating fish</w:t>
            </w:r>
          </w:p>
        </w:tc>
      </w:tr>
      <w:tr w:rsidR="00E644D1" w:rsidRPr="008824CB" w14:paraId="0380A777" w14:textId="77777777" w:rsidTr="006C72FE">
        <w:tc>
          <w:tcPr>
            <w:tcW w:w="707" w:type="dxa"/>
            <w:tcBorders>
              <w:top w:val="nil"/>
              <w:left w:val="nil"/>
              <w:bottom w:val="nil"/>
              <w:right w:val="nil"/>
            </w:tcBorders>
          </w:tcPr>
          <w:p w14:paraId="57730294"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3.2</w:t>
            </w:r>
          </w:p>
        </w:tc>
        <w:tc>
          <w:tcPr>
            <w:tcW w:w="2443" w:type="dxa"/>
            <w:tcBorders>
              <w:top w:val="nil"/>
              <w:left w:val="nil"/>
              <w:bottom w:val="nil"/>
              <w:right w:val="nil"/>
            </w:tcBorders>
          </w:tcPr>
          <w:p w14:paraId="7236BD42" w14:textId="77777777" w:rsidR="00E644D1" w:rsidRPr="002F6BCC" w:rsidRDefault="00E644D1" w:rsidP="002F6BCC">
            <w:pPr>
              <w:rPr>
                <w:b/>
                <w:bCs/>
                <w:lang w:eastAsia="en-US"/>
              </w:rPr>
            </w:pPr>
            <w:r w:rsidRPr="002F6BCC">
              <w:rPr>
                <w:b/>
                <w:bCs/>
                <w:lang w:eastAsia="en-US"/>
              </w:rPr>
              <w:t>Air</w:t>
            </w:r>
          </w:p>
        </w:tc>
        <w:tc>
          <w:tcPr>
            <w:tcW w:w="6206" w:type="dxa"/>
            <w:tcBorders>
              <w:top w:val="nil"/>
              <w:left w:val="nil"/>
              <w:bottom w:val="nil"/>
              <w:right w:val="nil"/>
            </w:tcBorders>
          </w:tcPr>
          <w:p w14:paraId="3907707B" w14:textId="77777777" w:rsidR="00E644D1" w:rsidRPr="0091214A" w:rsidRDefault="00E644D1" w:rsidP="006C72FE">
            <w:pPr>
              <w:pStyle w:val="NormalWeb"/>
              <w:shd w:val="clear" w:color="auto" w:fill="FFFFFF"/>
              <w:spacing w:before="0" w:beforeAutospacing="0" w:after="120" w:afterAutospacing="0"/>
              <w:rPr>
                <w:b/>
                <w:bCs/>
                <w:szCs w:val="20"/>
                <w:lang w:eastAsia="en-US"/>
              </w:rPr>
            </w:pPr>
            <w:r w:rsidRPr="0091214A">
              <w:rPr>
                <w:b/>
                <w:bCs/>
                <w:szCs w:val="20"/>
                <w:lang w:eastAsia="en-US"/>
              </w:rPr>
              <w:t>Colombia</w:t>
            </w:r>
          </w:p>
          <w:p w14:paraId="6D7300EA" w14:textId="77777777" w:rsidR="00E644D1" w:rsidRDefault="00E644D1" w:rsidP="006C72FE">
            <w:pPr>
              <w:pStyle w:val="NormalWeb"/>
              <w:shd w:val="clear" w:color="auto" w:fill="FFFFFF"/>
              <w:spacing w:before="0" w:beforeAutospacing="0" w:after="120" w:afterAutospacing="0"/>
              <w:rPr>
                <w:szCs w:val="20"/>
                <w:lang w:eastAsia="en-US"/>
              </w:rPr>
            </w:pPr>
            <w:r w:rsidRPr="00DD61F0">
              <w:rPr>
                <w:szCs w:val="20"/>
                <w:lang w:eastAsia="en-US"/>
              </w:rPr>
              <w:t>Studies conducted</w:t>
            </w:r>
            <w:r>
              <w:rPr>
                <w:szCs w:val="20"/>
                <w:lang w:eastAsia="en-US"/>
              </w:rPr>
              <w:t xml:space="preserve"> in Colombia</w:t>
            </w:r>
            <w:r w:rsidRPr="00DD61F0">
              <w:rPr>
                <w:szCs w:val="20"/>
                <w:lang w:eastAsia="en-US"/>
              </w:rPr>
              <w:t xml:space="preserve"> by the Government of Antioquia in the municipalities of Segovia and Remedios, in the Northeast of the department, found a concentration of mercury of approximately 340 </w:t>
            </w:r>
            <w:proofErr w:type="spellStart"/>
            <w:r w:rsidRPr="00DD61F0">
              <w:rPr>
                <w:szCs w:val="20"/>
                <w:lang w:eastAsia="en-US"/>
              </w:rPr>
              <w:t>μg</w:t>
            </w:r>
            <w:proofErr w:type="spellEnd"/>
            <w:r w:rsidRPr="00DD61F0">
              <w:rPr>
                <w:szCs w:val="20"/>
                <w:lang w:eastAsia="en-US"/>
              </w:rPr>
              <w:t xml:space="preserve">/m³ in the air (300 times higher than the guideline of the World Health Organization for public maximum exposure to </w:t>
            </w:r>
            <w:r w:rsidR="00D609EE">
              <w:rPr>
                <w:szCs w:val="20"/>
                <w:lang w:eastAsia="en-US"/>
              </w:rPr>
              <w:t>vapour</w:t>
            </w:r>
            <w:r w:rsidRPr="00DD61F0">
              <w:rPr>
                <w:szCs w:val="20"/>
                <w:lang w:eastAsia="en-US"/>
              </w:rPr>
              <w:t xml:space="preserve"> of mercury).</w:t>
            </w:r>
          </w:p>
          <w:p w14:paraId="6FF6EFDD" w14:textId="77777777" w:rsidR="00E644D1" w:rsidRPr="0091214A" w:rsidRDefault="00E644D1" w:rsidP="006C72FE">
            <w:pPr>
              <w:pStyle w:val="NormalWeb"/>
              <w:shd w:val="clear" w:color="auto" w:fill="FFFFFF"/>
              <w:spacing w:before="0" w:beforeAutospacing="0" w:after="120" w:afterAutospacing="0"/>
              <w:rPr>
                <w:b/>
                <w:bCs/>
                <w:kern w:val="28"/>
                <w:szCs w:val="20"/>
                <w:lang w:val="en-GB" w:eastAsia="en-US"/>
              </w:rPr>
            </w:pPr>
            <w:r w:rsidRPr="0091214A">
              <w:rPr>
                <w:b/>
                <w:bCs/>
                <w:kern w:val="28"/>
                <w:szCs w:val="20"/>
                <w:lang w:val="en-GB" w:eastAsia="en-US"/>
              </w:rPr>
              <w:t>WHO (2000)</w:t>
            </w:r>
          </w:p>
          <w:p w14:paraId="6F5CEFFD" w14:textId="77777777" w:rsidR="00E644D1" w:rsidRPr="008824CB" w:rsidRDefault="00E644D1" w:rsidP="006C72FE">
            <w:pPr>
              <w:pStyle w:val="NormalWeb"/>
              <w:shd w:val="clear" w:color="auto" w:fill="FFFFFF"/>
              <w:spacing w:before="0" w:beforeAutospacing="0" w:after="120" w:afterAutospacing="0"/>
              <w:rPr>
                <w:kern w:val="28"/>
                <w:szCs w:val="20"/>
                <w:lang w:val="en-GB" w:eastAsia="en-US"/>
              </w:rPr>
            </w:pPr>
            <w:r w:rsidRPr="008824CB">
              <w:rPr>
                <w:kern w:val="28"/>
                <w:szCs w:val="20"/>
                <w:lang w:val="en-GB" w:eastAsia="en-US"/>
              </w:rPr>
              <w:t xml:space="preserve">The atmosphere and dental amalgam are the sole sources of exposure to mercury vapour, whereas the diet is the dominant source of methylmercury compounds. </w:t>
            </w:r>
          </w:p>
          <w:p w14:paraId="5B6F9CBE" w14:textId="77777777" w:rsidR="00E644D1" w:rsidRPr="008824CB" w:rsidRDefault="00E644D1" w:rsidP="006C72FE">
            <w:pPr>
              <w:pStyle w:val="NormalWeb"/>
              <w:shd w:val="clear" w:color="auto" w:fill="FFFFFF"/>
              <w:spacing w:before="0" w:beforeAutospacing="0" w:after="120" w:afterAutospacing="0"/>
              <w:rPr>
                <w:kern w:val="28"/>
                <w:szCs w:val="20"/>
                <w:lang w:val="en-GB" w:eastAsia="en-US"/>
              </w:rPr>
            </w:pPr>
            <w:r w:rsidRPr="008824CB">
              <w:rPr>
                <w:kern w:val="28"/>
                <w:szCs w:val="20"/>
                <w:lang w:val="en-GB" w:eastAsia="en-US"/>
              </w:rPr>
              <w:t>Current levels of mercury in outdoor air, except for regional “hot spots”, are typically in the order of 0.005–0.010 µg/m</w:t>
            </w:r>
            <w:r w:rsidRPr="00750879">
              <w:rPr>
                <w:kern w:val="28"/>
                <w:szCs w:val="20"/>
                <w:vertAlign w:val="superscript"/>
                <w:lang w:val="en-GB" w:eastAsia="en-US"/>
              </w:rPr>
              <w:t>3</w:t>
            </w:r>
            <w:r w:rsidRPr="008824CB">
              <w:rPr>
                <w:kern w:val="28"/>
                <w:szCs w:val="20"/>
                <w:lang w:val="en-GB" w:eastAsia="en-US"/>
              </w:rPr>
              <w:t xml:space="preserve"> and thus are marginal compared to exposure from dental amalgam. The exposure to mercury from outdoor air at these air levels is not expected to have direct effects on human health.</w:t>
            </w:r>
          </w:p>
          <w:p w14:paraId="63DD0B26" w14:textId="77777777" w:rsidR="00E644D1" w:rsidRPr="008824CB" w:rsidRDefault="00E644D1" w:rsidP="006C72FE">
            <w:pPr>
              <w:pStyle w:val="NormalWeb"/>
              <w:shd w:val="clear" w:color="auto" w:fill="FFFFFF"/>
              <w:spacing w:before="0" w:beforeAutospacing="0" w:after="120" w:afterAutospacing="0"/>
              <w:rPr>
                <w:kern w:val="28"/>
                <w:szCs w:val="20"/>
                <w:lang w:val="en-GB" w:eastAsia="en-US"/>
              </w:rPr>
            </w:pPr>
            <w:r w:rsidRPr="008824CB">
              <w:rPr>
                <w:kern w:val="28"/>
                <w:szCs w:val="20"/>
                <w:lang w:val="en-GB" w:eastAsia="en-US"/>
              </w:rPr>
              <w:t>The LOAELs for mercury vapour are around 15–30 µg/m</w:t>
            </w:r>
            <w:r w:rsidRPr="00750879">
              <w:rPr>
                <w:kern w:val="28"/>
                <w:szCs w:val="20"/>
                <w:vertAlign w:val="superscript"/>
                <w:lang w:val="en-GB" w:eastAsia="en-US"/>
              </w:rPr>
              <w:t>3</w:t>
            </w:r>
            <w:r w:rsidRPr="008824CB">
              <w:rPr>
                <w:kern w:val="28"/>
                <w:szCs w:val="20"/>
                <w:lang w:val="en-GB" w:eastAsia="en-US"/>
              </w:rPr>
              <w:t xml:space="preserve">. </w:t>
            </w:r>
          </w:p>
          <w:p w14:paraId="3201A0C0" w14:textId="77777777" w:rsidR="00E644D1" w:rsidRPr="008824CB" w:rsidRDefault="00E644D1" w:rsidP="006C72FE">
            <w:pPr>
              <w:pStyle w:val="NormalWeb"/>
              <w:shd w:val="clear" w:color="auto" w:fill="FFFFFF"/>
              <w:spacing w:before="0" w:beforeAutospacing="0" w:after="120" w:afterAutospacing="0"/>
              <w:rPr>
                <w:kern w:val="28"/>
                <w:szCs w:val="20"/>
                <w:lang w:val="en-GB" w:eastAsia="en-US"/>
              </w:rPr>
            </w:pPr>
            <w:r w:rsidRPr="008824CB">
              <w:rPr>
                <w:kern w:val="28"/>
                <w:szCs w:val="20"/>
                <w:lang w:val="en-GB" w:eastAsia="en-US"/>
              </w:rPr>
              <w:t>Applying an uncertainty factor of 20 (10 for uncertainty due to variable sensitivities in higher risk populations and, on the basis of dose–response information, a factor of 2 to extrapolate from a LOAEL to a likely NOAEL), a guideline for inorganic mercury vapour of 1 µg/m</w:t>
            </w:r>
            <w:r w:rsidRPr="00750879">
              <w:rPr>
                <w:kern w:val="28"/>
                <w:szCs w:val="20"/>
                <w:vertAlign w:val="superscript"/>
                <w:lang w:val="en-GB" w:eastAsia="en-US"/>
              </w:rPr>
              <w:t>3</w:t>
            </w:r>
            <w:r w:rsidRPr="008824CB">
              <w:rPr>
                <w:kern w:val="28"/>
                <w:szCs w:val="20"/>
                <w:lang w:val="en-GB" w:eastAsia="en-US"/>
              </w:rPr>
              <w:t xml:space="preserve"> as an annual average has been established. Since cationic inorganic mercury is retained only half as much as the vapour, the guideline also protects against mild renal effects caused by cationic inorganic mercury. Present knowledge suggests, however, that effects on the immune system at lower exposures cannot be excluded.</w:t>
            </w:r>
          </w:p>
        </w:tc>
      </w:tr>
      <w:tr w:rsidR="00E644D1" w:rsidRPr="00B1179D" w14:paraId="158879D1" w14:textId="77777777" w:rsidTr="006C72FE">
        <w:tc>
          <w:tcPr>
            <w:tcW w:w="707" w:type="dxa"/>
            <w:tcBorders>
              <w:top w:val="nil"/>
              <w:left w:val="nil"/>
              <w:bottom w:val="nil"/>
              <w:right w:val="nil"/>
            </w:tcBorders>
          </w:tcPr>
          <w:p w14:paraId="79A53F2B"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3.3</w:t>
            </w:r>
          </w:p>
        </w:tc>
        <w:tc>
          <w:tcPr>
            <w:tcW w:w="2443" w:type="dxa"/>
            <w:tcBorders>
              <w:top w:val="nil"/>
              <w:left w:val="nil"/>
              <w:bottom w:val="nil"/>
              <w:right w:val="nil"/>
            </w:tcBorders>
          </w:tcPr>
          <w:p w14:paraId="537544A3" w14:textId="77777777" w:rsidR="00E644D1" w:rsidRPr="002F6BCC" w:rsidRDefault="00E644D1" w:rsidP="002F6BCC">
            <w:pPr>
              <w:rPr>
                <w:b/>
                <w:bCs/>
                <w:lang w:eastAsia="en-US"/>
              </w:rPr>
            </w:pPr>
            <w:r w:rsidRPr="002F6BCC">
              <w:rPr>
                <w:b/>
                <w:bCs/>
                <w:lang w:eastAsia="en-US"/>
              </w:rPr>
              <w:t>Water</w:t>
            </w:r>
          </w:p>
        </w:tc>
        <w:tc>
          <w:tcPr>
            <w:tcW w:w="6206" w:type="dxa"/>
            <w:tcBorders>
              <w:top w:val="nil"/>
              <w:left w:val="nil"/>
              <w:bottom w:val="nil"/>
              <w:right w:val="nil"/>
            </w:tcBorders>
          </w:tcPr>
          <w:p w14:paraId="54D71055" w14:textId="77777777" w:rsidR="00E644D1" w:rsidRPr="00993133" w:rsidRDefault="00E644D1" w:rsidP="00993133">
            <w:pPr>
              <w:rPr>
                <w:b/>
                <w:bCs/>
                <w:lang w:eastAsia="en-US"/>
              </w:rPr>
            </w:pPr>
            <w:r w:rsidRPr="00993133">
              <w:rPr>
                <w:b/>
                <w:bCs/>
                <w:lang w:eastAsia="en-US"/>
              </w:rPr>
              <w:t>Colombia</w:t>
            </w:r>
          </w:p>
          <w:p w14:paraId="599A7507" w14:textId="77777777" w:rsidR="00E644D1" w:rsidRPr="00B1179D" w:rsidRDefault="00E644D1" w:rsidP="00993133">
            <w:pPr>
              <w:rPr>
                <w:lang w:eastAsia="en-US"/>
              </w:rPr>
            </w:pPr>
            <w:r w:rsidRPr="00DD61F0">
              <w:rPr>
                <w:lang w:eastAsia="en-US"/>
              </w:rPr>
              <w:t xml:space="preserve">Studies conducted </w:t>
            </w:r>
            <w:r>
              <w:rPr>
                <w:lang w:eastAsia="en-US"/>
              </w:rPr>
              <w:t xml:space="preserve">in Colombia </w:t>
            </w:r>
            <w:r w:rsidRPr="00DD61F0">
              <w:rPr>
                <w:lang w:eastAsia="en-US"/>
              </w:rPr>
              <w:t>by the Government of Antioquia in the municipalities of Segovia and Remedios, in the Northeast of the department,</w:t>
            </w:r>
            <w:r>
              <w:rPr>
                <w:lang w:eastAsia="en-US"/>
              </w:rPr>
              <w:t xml:space="preserve"> reported that</w:t>
            </w:r>
            <w:r w:rsidRPr="00DD61F0">
              <w:rPr>
                <w:lang w:eastAsia="en-US"/>
              </w:rPr>
              <w:t xml:space="preserve"> </w:t>
            </w:r>
            <w:r>
              <w:rPr>
                <w:lang w:eastAsia="en-US"/>
              </w:rPr>
              <w:t>a</w:t>
            </w:r>
            <w:r w:rsidRPr="00DD61F0">
              <w:rPr>
                <w:lang w:eastAsia="en-US"/>
              </w:rPr>
              <w:t xml:space="preserve">pproximately 26 to 6,118 ppm of Hg is discharged into rivers by miners in the region. Additionally, the main food of these communities is fish, which has been shown to be affected by the emission of mercury. Studies completed by </w:t>
            </w:r>
            <w:proofErr w:type="spellStart"/>
            <w:r w:rsidRPr="00DD61F0">
              <w:rPr>
                <w:lang w:eastAsia="en-US"/>
              </w:rPr>
              <w:t>Corantioquia</w:t>
            </w:r>
            <w:proofErr w:type="spellEnd"/>
            <w:r w:rsidRPr="00DD61F0">
              <w:rPr>
                <w:lang w:eastAsia="en-US"/>
              </w:rPr>
              <w:t xml:space="preserve">, the University of Antioquia, and the University of Cartagena have revealed a concentration above 1.06 </w:t>
            </w:r>
            <w:proofErr w:type="spellStart"/>
            <w:r w:rsidRPr="00DD61F0">
              <w:rPr>
                <w:lang w:eastAsia="en-US"/>
              </w:rPr>
              <w:t>μg</w:t>
            </w:r>
            <w:proofErr w:type="spellEnd"/>
            <w:r w:rsidRPr="00DD61F0">
              <w:rPr>
                <w:lang w:eastAsia="en-US"/>
              </w:rPr>
              <w:t xml:space="preserve"> Hg/g in most of the species found in the rivers of the surrounding area</w:t>
            </w:r>
            <w:r>
              <w:rPr>
                <w:lang w:eastAsia="en-US"/>
              </w:rPr>
              <w:t>.</w:t>
            </w:r>
          </w:p>
        </w:tc>
      </w:tr>
      <w:tr w:rsidR="00E644D1" w:rsidRPr="00B1179D" w14:paraId="3175AD75" w14:textId="77777777" w:rsidTr="006C72FE">
        <w:tc>
          <w:tcPr>
            <w:tcW w:w="707" w:type="dxa"/>
            <w:tcBorders>
              <w:top w:val="nil"/>
              <w:left w:val="nil"/>
              <w:bottom w:val="nil"/>
              <w:right w:val="nil"/>
            </w:tcBorders>
          </w:tcPr>
          <w:p w14:paraId="2FB60C76"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3.4</w:t>
            </w:r>
          </w:p>
        </w:tc>
        <w:tc>
          <w:tcPr>
            <w:tcW w:w="2443" w:type="dxa"/>
            <w:tcBorders>
              <w:top w:val="nil"/>
              <w:left w:val="nil"/>
              <w:bottom w:val="nil"/>
              <w:right w:val="nil"/>
            </w:tcBorders>
          </w:tcPr>
          <w:p w14:paraId="7608D3EB" w14:textId="77777777" w:rsidR="00E644D1" w:rsidRPr="002F6BCC" w:rsidRDefault="00E644D1" w:rsidP="002F6BCC">
            <w:pPr>
              <w:rPr>
                <w:b/>
                <w:bCs/>
                <w:lang w:eastAsia="en-US"/>
              </w:rPr>
            </w:pPr>
            <w:r w:rsidRPr="002F6BCC">
              <w:rPr>
                <w:b/>
                <w:bCs/>
                <w:lang w:eastAsia="en-US"/>
              </w:rPr>
              <w:t xml:space="preserve">Occupational exposure </w:t>
            </w:r>
          </w:p>
        </w:tc>
        <w:tc>
          <w:tcPr>
            <w:tcW w:w="6206" w:type="dxa"/>
            <w:tcBorders>
              <w:top w:val="nil"/>
              <w:left w:val="nil"/>
              <w:bottom w:val="nil"/>
              <w:right w:val="nil"/>
            </w:tcBorders>
          </w:tcPr>
          <w:p w14:paraId="4BB6E265" w14:textId="77777777" w:rsidR="00E644D1" w:rsidRPr="00993133" w:rsidRDefault="00E644D1" w:rsidP="00993133">
            <w:pPr>
              <w:rPr>
                <w:b/>
                <w:bCs/>
                <w:lang w:eastAsia="en-US"/>
              </w:rPr>
            </w:pPr>
            <w:r w:rsidRPr="00993133">
              <w:rPr>
                <w:b/>
                <w:bCs/>
                <w:lang w:eastAsia="en-US"/>
              </w:rPr>
              <w:t>Colombia</w:t>
            </w:r>
          </w:p>
          <w:p w14:paraId="421818A1" w14:textId="77777777" w:rsidR="00E644D1" w:rsidRPr="00B1179D" w:rsidRDefault="00E644D1" w:rsidP="00993133">
            <w:pPr>
              <w:rPr>
                <w:lang w:eastAsia="en-US"/>
              </w:rPr>
            </w:pPr>
            <w:r w:rsidRPr="00DD61F0">
              <w:rPr>
                <w:lang w:eastAsia="en-US"/>
              </w:rPr>
              <w:t>Occupational exposure is the most reported ca</w:t>
            </w:r>
            <w:r w:rsidR="00822D17">
              <w:rPr>
                <w:lang w:eastAsia="en-US"/>
              </w:rPr>
              <w:t>u</w:t>
            </w:r>
            <w:r w:rsidRPr="00DD61F0">
              <w:rPr>
                <w:lang w:eastAsia="en-US"/>
              </w:rPr>
              <w:t>se</w:t>
            </w:r>
            <w:r>
              <w:rPr>
                <w:lang w:eastAsia="en-US"/>
              </w:rPr>
              <w:t xml:space="preserve"> of mercury poisoning in Colombia</w:t>
            </w:r>
            <w:r w:rsidRPr="00DD61F0">
              <w:rPr>
                <w:lang w:eastAsia="en-US"/>
              </w:rPr>
              <w:t xml:space="preserve">, </w:t>
            </w:r>
            <w:r w:rsidR="00822D17">
              <w:rPr>
                <w:lang w:eastAsia="en-US"/>
              </w:rPr>
              <w:t>m</w:t>
            </w:r>
            <w:r w:rsidRPr="00DD61F0">
              <w:rPr>
                <w:lang w:eastAsia="en-US"/>
              </w:rPr>
              <w:t xml:space="preserve">ining and quarrying occupations </w:t>
            </w:r>
            <w:r w:rsidR="00822D17">
              <w:rPr>
                <w:lang w:eastAsia="en-US"/>
              </w:rPr>
              <w:t>have the</w:t>
            </w:r>
            <w:r w:rsidRPr="00DD61F0">
              <w:rPr>
                <w:lang w:eastAsia="en-US"/>
              </w:rPr>
              <w:t xml:space="preserve"> highest number of cases</w:t>
            </w:r>
            <w:r w:rsidR="00822D17">
              <w:rPr>
                <w:lang w:eastAsia="en-US"/>
              </w:rPr>
              <w:t xml:space="preserve"> due to</w:t>
            </w:r>
            <w:r w:rsidRPr="00DD61F0">
              <w:rPr>
                <w:lang w:eastAsia="en-US"/>
              </w:rPr>
              <w:t xml:space="preserve"> the use of mercury </w:t>
            </w:r>
            <w:r w:rsidR="00822D17">
              <w:rPr>
                <w:lang w:eastAsia="en-US"/>
              </w:rPr>
              <w:t>in</w:t>
            </w:r>
            <w:r w:rsidRPr="00DD61F0">
              <w:rPr>
                <w:lang w:eastAsia="en-US"/>
              </w:rPr>
              <w:t xml:space="preserve"> gold mining. The most frequent notifiers</w:t>
            </w:r>
            <w:r w:rsidR="00822D17">
              <w:rPr>
                <w:lang w:eastAsia="en-US"/>
              </w:rPr>
              <w:t xml:space="preserve"> of poisoning cases</w:t>
            </w:r>
            <w:r w:rsidRPr="00DD61F0">
              <w:rPr>
                <w:lang w:eastAsia="en-US"/>
              </w:rPr>
              <w:t xml:space="preserve"> during the</w:t>
            </w:r>
            <w:r w:rsidR="00822D17">
              <w:rPr>
                <w:lang w:eastAsia="en-US"/>
              </w:rPr>
              <w:t xml:space="preserve"> review</w:t>
            </w:r>
            <w:r w:rsidRPr="00DD61F0">
              <w:rPr>
                <w:lang w:eastAsia="en-US"/>
              </w:rPr>
              <w:t xml:space="preserve"> period were Antioquia, followed by Bogotá, Bolívar, Risaralda, Santander and Valle del Cauca. The highest percentage of intoxications reported were occupational,</w:t>
            </w:r>
            <w:r w:rsidR="00822D17">
              <w:rPr>
                <w:lang w:eastAsia="en-US"/>
              </w:rPr>
              <w:t xml:space="preserve"> predominantly miners or stonemasons, with</w:t>
            </w:r>
            <w:r w:rsidRPr="00DD61F0">
              <w:rPr>
                <w:lang w:eastAsia="en-US"/>
              </w:rPr>
              <w:t xml:space="preserve"> </w:t>
            </w:r>
            <w:r>
              <w:rPr>
                <w:lang w:eastAsia="en-US"/>
              </w:rPr>
              <w:t>inhalation being</w:t>
            </w:r>
            <w:r w:rsidRPr="00DD61F0">
              <w:rPr>
                <w:lang w:eastAsia="en-US"/>
              </w:rPr>
              <w:t xml:space="preserve"> the most </w:t>
            </w:r>
            <w:r w:rsidRPr="00DD61F0">
              <w:rPr>
                <w:lang w:eastAsia="en-US"/>
              </w:rPr>
              <w:lastRenderedPageBreak/>
              <w:t>frequent route of exposure</w:t>
            </w:r>
            <w:r>
              <w:rPr>
                <w:lang w:eastAsia="en-US"/>
              </w:rPr>
              <w:t>.</w:t>
            </w:r>
          </w:p>
        </w:tc>
      </w:tr>
      <w:tr w:rsidR="00E644D1" w:rsidRPr="00744948" w14:paraId="3D68BFDA" w14:textId="77777777" w:rsidTr="006C72FE">
        <w:tc>
          <w:tcPr>
            <w:tcW w:w="707" w:type="dxa"/>
            <w:tcBorders>
              <w:top w:val="nil"/>
              <w:left w:val="nil"/>
              <w:bottom w:val="nil"/>
              <w:right w:val="nil"/>
            </w:tcBorders>
          </w:tcPr>
          <w:p w14:paraId="0A8C3A99" w14:textId="77777777" w:rsidR="00E644D1" w:rsidRPr="00B1179D" w:rsidRDefault="00E644D1" w:rsidP="006C72FE">
            <w:pPr>
              <w:rPr>
                <w:rFonts w:eastAsia="Times New Roman"/>
                <w:b/>
                <w:bCs/>
                <w:szCs w:val="20"/>
                <w:lang w:val="en-US" w:eastAsia="en-US"/>
              </w:rPr>
            </w:pPr>
            <w:r w:rsidRPr="00B1179D">
              <w:rPr>
                <w:rFonts w:eastAsia="Times New Roman"/>
                <w:b/>
                <w:bCs/>
                <w:szCs w:val="20"/>
                <w:lang w:val="en-US" w:eastAsia="en-US"/>
              </w:rPr>
              <w:lastRenderedPageBreak/>
              <w:t>3.5</w:t>
            </w:r>
          </w:p>
        </w:tc>
        <w:tc>
          <w:tcPr>
            <w:tcW w:w="2443" w:type="dxa"/>
            <w:tcBorders>
              <w:top w:val="nil"/>
              <w:left w:val="nil"/>
              <w:bottom w:val="nil"/>
              <w:right w:val="nil"/>
            </w:tcBorders>
          </w:tcPr>
          <w:p w14:paraId="40B0B1EF" w14:textId="77777777" w:rsidR="00E644D1" w:rsidRPr="002F6BCC" w:rsidRDefault="00E644D1" w:rsidP="002F6BCC">
            <w:pPr>
              <w:rPr>
                <w:b/>
                <w:bCs/>
                <w:lang w:val="en-US" w:eastAsia="en-US"/>
              </w:rPr>
            </w:pPr>
            <w:r w:rsidRPr="002F6BCC">
              <w:rPr>
                <w:b/>
                <w:bCs/>
                <w:lang w:val="en-US" w:eastAsia="en-US"/>
              </w:rPr>
              <w:t>Medical data contributing to regulatory decision</w:t>
            </w:r>
          </w:p>
        </w:tc>
        <w:tc>
          <w:tcPr>
            <w:tcW w:w="6206" w:type="dxa"/>
            <w:tcBorders>
              <w:top w:val="nil"/>
              <w:left w:val="nil"/>
              <w:bottom w:val="nil"/>
              <w:right w:val="nil"/>
            </w:tcBorders>
          </w:tcPr>
          <w:p w14:paraId="55A6FA0F" w14:textId="77777777" w:rsidR="00993133" w:rsidRPr="00993133" w:rsidRDefault="00E644D1" w:rsidP="00993133">
            <w:pPr>
              <w:rPr>
                <w:rFonts w:eastAsia="Times New Roman"/>
                <w:b/>
                <w:bCs/>
                <w:szCs w:val="20"/>
                <w:lang w:eastAsia="en-US"/>
              </w:rPr>
            </w:pPr>
            <w:r w:rsidRPr="00993133">
              <w:rPr>
                <w:rFonts w:eastAsia="Times New Roman"/>
                <w:b/>
                <w:bCs/>
                <w:szCs w:val="20"/>
                <w:lang w:eastAsia="en-US"/>
              </w:rPr>
              <w:t>Colombia</w:t>
            </w:r>
          </w:p>
          <w:p w14:paraId="01D4024C" w14:textId="77777777" w:rsidR="00E644D1" w:rsidRPr="00744948" w:rsidRDefault="00E644D1" w:rsidP="00993133">
            <w:pPr>
              <w:rPr>
                <w:rFonts w:eastAsia="Times New Roman"/>
                <w:szCs w:val="20"/>
                <w:lang w:eastAsia="en-US"/>
              </w:rPr>
            </w:pPr>
            <w:r w:rsidRPr="00DD61F0">
              <w:rPr>
                <w:rFonts w:eastAsia="Times New Roman"/>
                <w:szCs w:val="20"/>
                <w:lang w:eastAsia="en-US"/>
              </w:rPr>
              <w:t xml:space="preserve">According to </w:t>
            </w:r>
            <w:r>
              <w:rPr>
                <w:rFonts w:eastAsia="Times New Roman"/>
                <w:szCs w:val="20"/>
                <w:lang w:eastAsia="en-US"/>
              </w:rPr>
              <w:t xml:space="preserve">the </w:t>
            </w:r>
            <w:r w:rsidRPr="00DD61F0">
              <w:rPr>
                <w:rFonts w:eastAsia="Times New Roman"/>
                <w:szCs w:val="20"/>
                <w:lang w:eastAsia="en-US"/>
              </w:rPr>
              <w:t>National Public Health Surveillance System - SIVIGILA, during 2010 and in the first half of 2011, 201 cases of mercury poisoning were reported in Colombia- 96% of the cases were of occupational or accidental origin as follows: 85% (n = 171) occupational, 11% (n = 22) accidental</w:t>
            </w:r>
            <w:r>
              <w:rPr>
                <w:rFonts w:eastAsia="Times New Roman"/>
                <w:szCs w:val="20"/>
                <w:lang w:eastAsia="en-US"/>
              </w:rPr>
              <w:t>.</w:t>
            </w:r>
          </w:p>
        </w:tc>
      </w:tr>
      <w:tr w:rsidR="00E644D1" w:rsidRPr="00B1179D" w14:paraId="291693EC" w14:textId="77777777" w:rsidTr="006C72FE">
        <w:tc>
          <w:tcPr>
            <w:tcW w:w="707" w:type="dxa"/>
            <w:tcBorders>
              <w:top w:val="nil"/>
              <w:left w:val="nil"/>
              <w:bottom w:val="nil"/>
              <w:right w:val="nil"/>
            </w:tcBorders>
          </w:tcPr>
          <w:p w14:paraId="7694E869"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3.6</w:t>
            </w:r>
          </w:p>
        </w:tc>
        <w:tc>
          <w:tcPr>
            <w:tcW w:w="2443" w:type="dxa"/>
            <w:tcBorders>
              <w:top w:val="nil"/>
              <w:left w:val="nil"/>
              <w:bottom w:val="nil"/>
              <w:right w:val="nil"/>
            </w:tcBorders>
          </w:tcPr>
          <w:p w14:paraId="49A4E94C" w14:textId="77777777" w:rsidR="00E644D1" w:rsidRPr="002F6BCC" w:rsidRDefault="00E644D1" w:rsidP="002F6BCC">
            <w:pPr>
              <w:rPr>
                <w:b/>
                <w:bCs/>
                <w:lang w:eastAsia="en-US"/>
              </w:rPr>
            </w:pPr>
            <w:r w:rsidRPr="002F6BCC">
              <w:rPr>
                <w:b/>
                <w:bCs/>
                <w:lang w:eastAsia="en-US"/>
              </w:rPr>
              <w:t xml:space="preserve">Public exposure </w:t>
            </w:r>
          </w:p>
        </w:tc>
        <w:tc>
          <w:tcPr>
            <w:tcW w:w="6206" w:type="dxa"/>
            <w:tcBorders>
              <w:top w:val="nil"/>
              <w:left w:val="nil"/>
              <w:bottom w:val="nil"/>
              <w:right w:val="nil"/>
            </w:tcBorders>
          </w:tcPr>
          <w:p w14:paraId="5696EAD7" w14:textId="77777777" w:rsidR="00E644D1" w:rsidRPr="00993133" w:rsidRDefault="00E644D1" w:rsidP="00993133">
            <w:pPr>
              <w:rPr>
                <w:rFonts w:eastAsia="Times New Roman"/>
                <w:b/>
                <w:bCs/>
                <w:szCs w:val="20"/>
                <w:lang w:eastAsia="en-US"/>
              </w:rPr>
            </w:pPr>
            <w:r w:rsidRPr="00993133">
              <w:rPr>
                <w:rFonts w:eastAsia="Times New Roman"/>
                <w:b/>
                <w:bCs/>
                <w:szCs w:val="20"/>
                <w:lang w:eastAsia="en-US"/>
              </w:rPr>
              <w:t>Colombia</w:t>
            </w:r>
          </w:p>
          <w:p w14:paraId="76BC18F6" w14:textId="77777777" w:rsidR="00E644D1" w:rsidRPr="00B1179D" w:rsidRDefault="0070111E" w:rsidP="00993133">
            <w:pPr>
              <w:rPr>
                <w:rFonts w:eastAsia="Times New Roman"/>
                <w:szCs w:val="20"/>
                <w:lang w:eastAsia="en-US"/>
              </w:rPr>
            </w:pPr>
            <w:r w:rsidRPr="00DD61F0">
              <w:rPr>
                <w:rFonts w:eastAsia="Times New Roman"/>
                <w:szCs w:val="20"/>
                <w:lang w:eastAsia="en-US"/>
              </w:rPr>
              <w:t xml:space="preserve">Studies </w:t>
            </w:r>
            <w:r>
              <w:rPr>
                <w:rFonts w:eastAsia="Times New Roman"/>
                <w:szCs w:val="20"/>
                <w:lang w:eastAsia="en-US"/>
              </w:rPr>
              <w:t>on</w:t>
            </w:r>
            <w:r w:rsidRPr="00DD61F0">
              <w:rPr>
                <w:rFonts w:eastAsia="Times New Roman"/>
                <w:szCs w:val="20"/>
                <w:lang w:eastAsia="en-US"/>
              </w:rPr>
              <w:t xml:space="preserve"> populations</w:t>
            </w:r>
            <w:r>
              <w:rPr>
                <w:rFonts w:eastAsia="Times New Roman"/>
                <w:szCs w:val="20"/>
                <w:lang w:eastAsia="en-US"/>
              </w:rPr>
              <w:t xml:space="preserve"> with known exposures to mercury, including </w:t>
            </w:r>
            <w:r w:rsidRPr="00DD61F0">
              <w:rPr>
                <w:rFonts w:eastAsia="Times New Roman"/>
                <w:szCs w:val="20"/>
                <w:lang w:eastAsia="en-US"/>
              </w:rPr>
              <w:t>occupational and general population</w:t>
            </w:r>
            <w:r>
              <w:rPr>
                <w:rFonts w:eastAsia="Times New Roman"/>
                <w:szCs w:val="20"/>
                <w:lang w:eastAsia="en-US"/>
              </w:rPr>
              <w:t xml:space="preserve"> exposures, show a link between exposure and adverse health effects. </w:t>
            </w:r>
            <w:r w:rsidR="00E644D1" w:rsidRPr="00DD61F0">
              <w:rPr>
                <w:rFonts w:eastAsia="Times New Roman"/>
                <w:szCs w:val="20"/>
                <w:lang w:eastAsia="en-US"/>
              </w:rPr>
              <w:t xml:space="preserve">The </w:t>
            </w:r>
            <w:proofErr w:type="spellStart"/>
            <w:r w:rsidR="00E644D1" w:rsidRPr="00DD61F0">
              <w:rPr>
                <w:rFonts w:eastAsia="Times New Roman"/>
                <w:szCs w:val="20"/>
                <w:lang w:eastAsia="en-US"/>
              </w:rPr>
              <w:t>neuroepidemiological</w:t>
            </w:r>
            <w:proofErr w:type="spellEnd"/>
            <w:r w:rsidR="00E644D1" w:rsidRPr="00DD61F0">
              <w:rPr>
                <w:rFonts w:eastAsia="Times New Roman"/>
                <w:szCs w:val="20"/>
                <w:lang w:eastAsia="en-US"/>
              </w:rPr>
              <w:t xml:space="preserve"> and toxicological study of the </w:t>
            </w:r>
            <w:proofErr w:type="spellStart"/>
            <w:r w:rsidR="00E644D1" w:rsidRPr="00DD61F0">
              <w:rPr>
                <w:rFonts w:eastAsia="Times New Roman"/>
                <w:szCs w:val="20"/>
                <w:lang w:eastAsia="en-US"/>
              </w:rPr>
              <w:t>Suratá</w:t>
            </w:r>
            <w:proofErr w:type="spellEnd"/>
            <w:r w:rsidR="00E644D1" w:rsidRPr="00DD61F0">
              <w:rPr>
                <w:rFonts w:eastAsia="Times New Roman"/>
                <w:szCs w:val="20"/>
                <w:lang w:eastAsia="en-US"/>
              </w:rPr>
              <w:t xml:space="preserve"> river pollutants carried out in the mining population of that </w:t>
            </w:r>
            <w:r w:rsidR="00E644D1">
              <w:rPr>
                <w:rFonts w:eastAsia="Times New Roman"/>
                <w:szCs w:val="20"/>
                <w:lang w:eastAsia="en-US"/>
              </w:rPr>
              <w:t xml:space="preserve">region </w:t>
            </w:r>
            <w:r w:rsidR="00E644D1" w:rsidRPr="00DD61F0">
              <w:rPr>
                <w:rFonts w:eastAsia="Times New Roman"/>
                <w:szCs w:val="20"/>
                <w:lang w:eastAsia="en-US"/>
              </w:rPr>
              <w:t xml:space="preserve">raised the possible relationship of chronic exposure to mercury with the presence of neurological diseases. </w:t>
            </w:r>
            <w:r w:rsidR="00E644D1">
              <w:rPr>
                <w:rFonts w:eastAsia="Times New Roman"/>
                <w:szCs w:val="20"/>
                <w:lang w:eastAsia="en-US"/>
              </w:rPr>
              <w:t>It was further reported that</w:t>
            </w:r>
            <w:r w:rsidR="00E644D1" w:rsidRPr="00DD61F0">
              <w:rPr>
                <w:rFonts w:eastAsia="Times New Roman"/>
                <w:szCs w:val="20"/>
                <w:lang w:eastAsia="en-US"/>
              </w:rPr>
              <w:t xml:space="preserve"> the inhabitants of southern Bolívar presented signs of mercury intoxication such as hand tremors, neurological disorders and visual problems, among others. In this region, frequent cases of congenital malformations have also been reported, although without evidence of association with mercury exposure</w:t>
            </w:r>
            <w:r w:rsidR="00E644D1">
              <w:rPr>
                <w:rFonts w:eastAsia="Times New Roman"/>
                <w:szCs w:val="20"/>
                <w:lang w:eastAsia="en-US"/>
              </w:rPr>
              <w:t>.</w:t>
            </w:r>
          </w:p>
        </w:tc>
      </w:tr>
      <w:tr w:rsidR="00E644D1" w:rsidRPr="00B1179D" w14:paraId="4733604E" w14:textId="77777777" w:rsidTr="006C72FE">
        <w:tc>
          <w:tcPr>
            <w:tcW w:w="707" w:type="dxa"/>
            <w:tcBorders>
              <w:top w:val="nil"/>
              <w:left w:val="nil"/>
              <w:bottom w:val="nil"/>
              <w:right w:val="nil"/>
            </w:tcBorders>
          </w:tcPr>
          <w:p w14:paraId="623596A1" w14:textId="77777777" w:rsidR="00E644D1" w:rsidRPr="00B1179D" w:rsidRDefault="00E644D1" w:rsidP="006C72FE">
            <w:pPr>
              <w:rPr>
                <w:rFonts w:eastAsia="Times New Roman"/>
                <w:b/>
                <w:bCs/>
                <w:szCs w:val="20"/>
                <w:lang w:eastAsia="en-US"/>
              </w:rPr>
            </w:pPr>
            <w:r w:rsidRPr="00B1179D">
              <w:rPr>
                <w:rFonts w:eastAsia="Times New Roman"/>
                <w:b/>
                <w:bCs/>
                <w:szCs w:val="20"/>
                <w:lang w:eastAsia="en-US"/>
              </w:rPr>
              <w:t>3.7</w:t>
            </w:r>
          </w:p>
        </w:tc>
        <w:tc>
          <w:tcPr>
            <w:tcW w:w="2443" w:type="dxa"/>
            <w:tcBorders>
              <w:top w:val="nil"/>
              <w:left w:val="nil"/>
              <w:bottom w:val="nil"/>
              <w:right w:val="nil"/>
            </w:tcBorders>
          </w:tcPr>
          <w:p w14:paraId="3CE08CC9" w14:textId="77777777" w:rsidR="00E644D1" w:rsidRPr="002F6BCC" w:rsidRDefault="00E644D1" w:rsidP="002F6BCC">
            <w:pPr>
              <w:rPr>
                <w:b/>
                <w:bCs/>
                <w:lang w:eastAsia="en-US"/>
              </w:rPr>
            </w:pPr>
            <w:r w:rsidRPr="002F6BCC">
              <w:rPr>
                <w:b/>
                <w:bCs/>
                <w:lang w:eastAsia="en-US"/>
              </w:rPr>
              <w:t>Summary-overall risk evaluation</w:t>
            </w:r>
          </w:p>
        </w:tc>
        <w:tc>
          <w:tcPr>
            <w:tcW w:w="6206" w:type="dxa"/>
            <w:tcBorders>
              <w:top w:val="nil"/>
              <w:left w:val="nil"/>
              <w:bottom w:val="nil"/>
              <w:right w:val="nil"/>
            </w:tcBorders>
          </w:tcPr>
          <w:p w14:paraId="0D85BCE3" w14:textId="77777777" w:rsidR="00E644D1" w:rsidRPr="00993133" w:rsidRDefault="00E644D1" w:rsidP="00993133">
            <w:pPr>
              <w:rPr>
                <w:rFonts w:eastAsia="Times New Roman"/>
                <w:b/>
                <w:bCs/>
                <w:szCs w:val="20"/>
                <w:lang w:eastAsia="en-US"/>
              </w:rPr>
            </w:pPr>
            <w:r w:rsidRPr="00993133">
              <w:rPr>
                <w:rFonts w:eastAsia="Times New Roman"/>
                <w:b/>
                <w:bCs/>
                <w:szCs w:val="20"/>
                <w:lang w:eastAsia="en-US"/>
              </w:rPr>
              <w:t>Colombia</w:t>
            </w:r>
          </w:p>
          <w:p w14:paraId="5EABF6FA" w14:textId="77777777" w:rsidR="00E644D1" w:rsidRPr="00DD61F0" w:rsidRDefault="0070111E" w:rsidP="00993133">
            <w:pPr>
              <w:rPr>
                <w:rFonts w:eastAsia="Times New Roman"/>
                <w:szCs w:val="20"/>
                <w:lang w:eastAsia="en-US"/>
              </w:rPr>
            </w:pPr>
            <w:r w:rsidRPr="0070111E">
              <w:rPr>
                <w:rFonts w:eastAsia="Times New Roman"/>
                <w:szCs w:val="20"/>
                <w:lang w:eastAsia="en-US"/>
              </w:rPr>
              <w:t xml:space="preserve">Data in the Colombian notification includes extensive neuro-epidemiological studies in exposed populations (occupational and general population) and studies in different environmental compartments (freshwater, soil, sediment, biota, etc.) and food (fish). </w:t>
            </w:r>
            <w:r w:rsidR="00E644D1" w:rsidRPr="00DD61F0">
              <w:rPr>
                <w:rFonts w:eastAsia="Times New Roman"/>
                <w:szCs w:val="20"/>
                <w:lang w:eastAsia="en-US"/>
              </w:rPr>
              <w:t>Mercury measurements have been made in humans, mainly in workers and communities surrounding mining activities or adjacent to riverine areas.</w:t>
            </w:r>
          </w:p>
          <w:p w14:paraId="062EBC9A" w14:textId="77777777" w:rsidR="00E644D1" w:rsidRPr="00744948" w:rsidRDefault="00E644D1" w:rsidP="00993133">
            <w:pPr>
              <w:rPr>
                <w:rFonts w:eastAsia="Times New Roman"/>
                <w:szCs w:val="20"/>
                <w:lang w:eastAsia="en-US"/>
              </w:rPr>
            </w:pPr>
            <w:r w:rsidRPr="00DD61F0">
              <w:rPr>
                <w:rFonts w:eastAsia="Times New Roman"/>
                <w:szCs w:val="20"/>
                <w:lang w:eastAsia="en-US"/>
              </w:rPr>
              <w:t>The evaluation</w:t>
            </w:r>
            <w:r w:rsidR="0070111E">
              <w:rPr>
                <w:rFonts w:eastAsia="Times New Roman"/>
                <w:szCs w:val="20"/>
                <w:lang w:eastAsia="en-US"/>
              </w:rPr>
              <w:t xml:space="preserve"> </w:t>
            </w:r>
            <w:r w:rsidRPr="00DD61F0">
              <w:rPr>
                <w:rFonts w:eastAsia="Times New Roman"/>
                <w:szCs w:val="20"/>
                <w:lang w:eastAsia="en-US"/>
              </w:rPr>
              <w:t>establish</w:t>
            </w:r>
            <w:r>
              <w:rPr>
                <w:rFonts w:eastAsia="Times New Roman"/>
                <w:szCs w:val="20"/>
                <w:lang w:eastAsia="en-US"/>
              </w:rPr>
              <w:t>ed</w:t>
            </w:r>
            <w:r w:rsidRPr="00DD61F0">
              <w:rPr>
                <w:rFonts w:eastAsia="Times New Roman"/>
                <w:szCs w:val="20"/>
                <w:lang w:eastAsia="en-US"/>
              </w:rPr>
              <w:t xml:space="preserve"> that mercury is a toxic substance, that when entering the human body produces disorders, mainly at the central nervous system level. The presence of mercury in the air, water, soil and food (mainly fish) in concentrations above the allowed limit has caused a serious public health problem in Colombia. Regions such as the Northeast of Antioquia, the South of Bolívar, Chocó, Santander, Nariño, Caldas, Vaupés</w:t>
            </w:r>
            <w:r w:rsidR="0070111E">
              <w:rPr>
                <w:rFonts w:eastAsia="Times New Roman"/>
                <w:szCs w:val="20"/>
                <w:lang w:eastAsia="en-US"/>
              </w:rPr>
              <w:t xml:space="preserve"> </w:t>
            </w:r>
            <w:r w:rsidRPr="00DD61F0">
              <w:rPr>
                <w:rFonts w:eastAsia="Times New Roman"/>
                <w:szCs w:val="20"/>
                <w:lang w:eastAsia="en-US"/>
              </w:rPr>
              <w:t xml:space="preserve">carry </w:t>
            </w:r>
            <w:r w:rsidR="0070111E" w:rsidRPr="00DD61F0">
              <w:rPr>
                <w:rFonts w:eastAsia="Times New Roman"/>
                <w:szCs w:val="20"/>
                <w:lang w:eastAsia="en-US"/>
              </w:rPr>
              <w:t xml:space="preserve">out artisanal gold mining </w:t>
            </w:r>
            <w:r w:rsidR="0070111E">
              <w:rPr>
                <w:rFonts w:eastAsia="Times New Roman"/>
                <w:szCs w:val="20"/>
                <w:lang w:eastAsia="en-US"/>
              </w:rPr>
              <w:t>using mercury for the final extraction of gold form ore</w:t>
            </w:r>
            <w:r w:rsidRPr="00DD61F0">
              <w:rPr>
                <w:rFonts w:eastAsia="Times New Roman"/>
                <w:szCs w:val="20"/>
                <w:lang w:eastAsia="en-US"/>
              </w:rPr>
              <w:t>. Its use occurs in an indiscriminate and poorly controlled way</w:t>
            </w:r>
            <w:r w:rsidR="0070111E">
              <w:rPr>
                <w:rFonts w:eastAsia="Times New Roman"/>
                <w:szCs w:val="20"/>
                <w:lang w:eastAsia="en-US"/>
              </w:rPr>
              <w:t xml:space="preserve"> </w:t>
            </w:r>
            <w:r w:rsidRPr="00DD61F0">
              <w:rPr>
                <w:rFonts w:eastAsia="Times New Roman"/>
                <w:szCs w:val="20"/>
                <w:lang w:eastAsia="en-US"/>
              </w:rPr>
              <w:t>that has caused environmental contamination and has affected people's health. Exposure to mercury is also increased in industrial areas that use this substance</w:t>
            </w:r>
            <w:r>
              <w:rPr>
                <w:rFonts w:eastAsia="Times New Roman"/>
                <w:szCs w:val="20"/>
                <w:lang w:eastAsia="en-US"/>
              </w:rPr>
              <w:t>.</w:t>
            </w:r>
            <w:r w:rsidRPr="00DD61F0">
              <w:rPr>
                <w:rFonts w:eastAsia="Times New Roman"/>
                <w:szCs w:val="20"/>
                <w:lang w:eastAsia="en-US"/>
              </w:rPr>
              <w:t xml:space="preserve"> </w:t>
            </w:r>
          </w:p>
          <w:p w14:paraId="4A060303" w14:textId="77777777" w:rsidR="00E644D1" w:rsidRPr="00993133" w:rsidRDefault="00E644D1" w:rsidP="00993133">
            <w:pPr>
              <w:rPr>
                <w:rFonts w:eastAsia="Times New Roman"/>
                <w:b/>
                <w:bCs/>
                <w:iCs/>
                <w:szCs w:val="20"/>
                <w:lang w:eastAsia="en-US"/>
              </w:rPr>
            </w:pPr>
            <w:r w:rsidRPr="00993133">
              <w:rPr>
                <w:rFonts w:eastAsia="Times New Roman"/>
                <w:b/>
                <w:bCs/>
                <w:iCs/>
                <w:szCs w:val="20"/>
                <w:lang w:eastAsia="en-US"/>
              </w:rPr>
              <w:t>European Union</w:t>
            </w:r>
          </w:p>
          <w:p w14:paraId="63AE643A" w14:textId="77777777" w:rsidR="00E644D1" w:rsidRPr="00DD61F0" w:rsidRDefault="00E644D1" w:rsidP="00993133">
            <w:pPr>
              <w:rPr>
                <w:rFonts w:eastAsia="Times New Roman"/>
                <w:iCs/>
                <w:szCs w:val="20"/>
                <w:lang w:eastAsia="en-US"/>
              </w:rPr>
            </w:pPr>
            <w:r w:rsidRPr="00DD61F0">
              <w:rPr>
                <w:rFonts w:eastAsia="Times New Roman"/>
                <w:iCs/>
                <w:szCs w:val="20"/>
                <w:lang w:eastAsia="en-US"/>
              </w:rPr>
              <w:t>While th</w:t>
            </w:r>
            <w:r>
              <w:rPr>
                <w:rFonts w:eastAsia="Times New Roman"/>
                <w:iCs/>
                <w:szCs w:val="20"/>
                <w:lang w:eastAsia="en-US"/>
              </w:rPr>
              <w:t xml:space="preserve">e European Union’s </w:t>
            </w:r>
            <w:r w:rsidRPr="00DD61F0">
              <w:rPr>
                <w:rFonts w:eastAsia="Times New Roman"/>
                <w:iCs/>
                <w:szCs w:val="20"/>
                <w:lang w:eastAsia="en-US"/>
              </w:rPr>
              <w:t>risk assessment was conducted in the context of the restriction on mercury-containing measuring devices intended for industrial and professional uses, it includes information on the risks associated with mercury that is not limited to those measuring devices and that could support the other Directives and Regulations that comprise the final regulatory action notified by the European Union.</w:t>
            </w:r>
          </w:p>
          <w:p w14:paraId="3447F29E" w14:textId="77777777" w:rsidR="00E644D1" w:rsidRPr="00E644D1" w:rsidRDefault="00E644D1" w:rsidP="00993133">
            <w:pPr>
              <w:rPr>
                <w:rFonts w:eastAsia="Times New Roman"/>
                <w:iCs/>
                <w:szCs w:val="20"/>
                <w:lang w:eastAsia="en-US"/>
              </w:rPr>
            </w:pPr>
            <w:r>
              <w:rPr>
                <w:rFonts w:eastAsia="Times New Roman"/>
                <w:iCs/>
                <w:szCs w:val="20"/>
                <w:lang w:eastAsia="en-US"/>
              </w:rPr>
              <w:t>A</w:t>
            </w:r>
            <w:r w:rsidRPr="00DD61F0">
              <w:rPr>
                <w:rFonts w:eastAsia="Times New Roman"/>
                <w:iCs/>
                <w:szCs w:val="20"/>
                <w:lang w:eastAsia="en-US"/>
              </w:rPr>
              <w:t xml:space="preserve">ccording to the </w:t>
            </w:r>
            <w:r w:rsidR="004F7C6B">
              <w:rPr>
                <w:rFonts w:eastAsia="Times New Roman"/>
                <w:iCs/>
                <w:szCs w:val="20"/>
                <w:lang w:eastAsia="en-US"/>
              </w:rPr>
              <w:t xml:space="preserve">ECHA </w:t>
            </w:r>
            <w:r w:rsidRPr="00DD61F0">
              <w:rPr>
                <w:rFonts w:eastAsia="Times New Roman"/>
                <w:iCs/>
                <w:szCs w:val="20"/>
                <w:lang w:eastAsia="en-US"/>
              </w:rPr>
              <w:t xml:space="preserve">Committee for Risk Assessment </w:t>
            </w:r>
            <w:r>
              <w:rPr>
                <w:rFonts w:eastAsia="Times New Roman"/>
                <w:iCs/>
                <w:szCs w:val="20"/>
                <w:lang w:eastAsia="en-US"/>
              </w:rPr>
              <w:t>(</w:t>
            </w:r>
            <w:r w:rsidRPr="00DD61F0">
              <w:rPr>
                <w:rFonts w:eastAsia="Times New Roman"/>
                <w:iCs/>
                <w:szCs w:val="20"/>
                <w:lang w:eastAsia="en-US"/>
              </w:rPr>
              <w:t>RAC</w:t>
            </w:r>
            <w:r>
              <w:rPr>
                <w:rFonts w:eastAsia="Times New Roman"/>
                <w:iCs/>
                <w:szCs w:val="20"/>
                <w:lang w:eastAsia="en-US"/>
              </w:rPr>
              <w:t>)</w:t>
            </w:r>
            <w:r w:rsidRPr="00DD61F0">
              <w:rPr>
                <w:rFonts w:eastAsia="Times New Roman"/>
                <w:iCs/>
                <w:szCs w:val="20"/>
                <w:lang w:eastAsia="en-US"/>
              </w:rPr>
              <w:t xml:space="preserve"> </w:t>
            </w:r>
            <w:r>
              <w:rPr>
                <w:rFonts w:eastAsia="Times New Roman"/>
                <w:iCs/>
                <w:szCs w:val="20"/>
                <w:lang w:eastAsia="en-US"/>
              </w:rPr>
              <w:t>O</w:t>
            </w:r>
            <w:r w:rsidRPr="00DD61F0">
              <w:rPr>
                <w:rFonts w:eastAsia="Times New Roman"/>
                <w:iCs/>
                <w:szCs w:val="20"/>
                <w:lang w:eastAsia="en-US"/>
              </w:rPr>
              <w:t>pinion and its background document, mercury and its compounds are highly toxic to humans, ecosystems and wildlife, with amongst others serious chronic irreversible adverse neurotoxic and neurodevelopmental effects. The RAC opinion includes a PBT assessment for mercury-methylmercury concluding and equivalent level of concern in terms of persistency, due to mercury cycling and methylation versus demethylation rates under anaerobic conditions, as well as the clear potential for bioaccumulation and toxicity identified for methylmercury</w:t>
            </w:r>
            <w:r>
              <w:rPr>
                <w:rFonts w:eastAsia="Times New Roman"/>
                <w:iCs/>
                <w:szCs w:val="20"/>
                <w:lang w:eastAsia="en-US"/>
              </w:rPr>
              <w:t>.</w:t>
            </w:r>
          </w:p>
        </w:tc>
      </w:tr>
    </w:tbl>
    <w:p w14:paraId="19026010" w14:textId="77777777" w:rsidR="00E644D1" w:rsidRPr="00266BB6" w:rsidRDefault="00E644D1" w:rsidP="00803F46">
      <w:pPr>
        <w:pStyle w:val="Heading2"/>
      </w:pPr>
      <w:bookmarkStart w:id="23" w:name="_Toc154010825"/>
      <w:r w:rsidRPr="00266BB6">
        <w:lastRenderedPageBreak/>
        <w:t>4.</w:t>
      </w:r>
      <w:r w:rsidRPr="00266BB6">
        <w:tab/>
        <w:t>Environmental fate and effects</w:t>
      </w:r>
      <w:bookmarkEnd w:id="23"/>
    </w:p>
    <w:tbl>
      <w:tblPr>
        <w:tblW w:w="9356" w:type="dxa"/>
        <w:tblInd w:w="108" w:type="dxa"/>
        <w:tblLayout w:type="fixed"/>
        <w:tblLook w:val="0000" w:firstRow="0" w:lastRow="0" w:firstColumn="0" w:lastColumn="0" w:noHBand="0" w:noVBand="0"/>
      </w:tblPr>
      <w:tblGrid>
        <w:gridCol w:w="707"/>
        <w:gridCol w:w="2443"/>
        <w:gridCol w:w="6206"/>
      </w:tblGrid>
      <w:tr w:rsidR="00E644D1" w:rsidRPr="00744948" w14:paraId="343A044C" w14:textId="77777777" w:rsidTr="00E644D1">
        <w:tc>
          <w:tcPr>
            <w:tcW w:w="707" w:type="dxa"/>
          </w:tcPr>
          <w:p w14:paraId="0B2C037B" w14:textId="77777777" w:rsidR="00E644D1" w:rsidRPr="00B1179D" w:rsidRDefault="00E644D1" w:rsidP="00803F46">
            <w:pPr>
              <w:keepNext/>
              <w:keepLines/>
              <w:rPr>
                <w:rFonts w:eastAsia="Times New Roman"/>
                <w:b/>
                <w:szCs w:val="20"/>
                <w:lang w:eastAsia="en-US"/>
              </w:rPr>
            </w:pPr>
            <w:r w:rsidRPr="00B1179D">
              <w:rPr>
                <w:rFonts w:eastAsia="Times New Roman"/>
                <w:b/>
                <w:szCs w:val="20"/>
                <w:lang w:eastAsia="en-US"/>
              </w:rPr>
              <w:t>4.1</w:t>
            </w:r>
          </w:p>
        </w:tc>
        <w:tc>
          <w:tcPr>
            <w:tcW w:w="2443" w:type="dxa"/>
          </w:tcPr>
          <w:p w14:paraId="328E4BF8" w14:textId="77777777" w:rsidR="00E644D1" w:rsidRPr="00AF0D6D" w:rsidRDefault="00E644D1" w:rsidP="00803F46">
            <w:pPr>
              <w:keepNext/>
              <w:rPr>
                <w:b/>
                <w:bCs/>
                <w:lang w:eastAsia="en-US"/>
              </w:rPr>
            </w:pPr>
            <w:r w:rsidRPr="00AF0D6D">
              <w:rPr>
                <w:b/>
                <w:bCs/>
                <w:lang w:eastAsia="en-US"/>
              </w:rPr>
              <w:t>Fate</w:t>
            </w:r>
          </w:p>
        </w:tc>
        <w:tc>
          <w:tcPr>
            <w:tcW w:w="6206" w:type="dxa"/>
          </w:tcPr>
          <w:p w14:paraId="18052B1C" w14:textId="77777777" w:rsidR="00E644D1" w:rsidRPr="0091214A" w:rsidRDefault="00E644D1" w:rsidP="00803F46">
            <w:pPr>
              <w:keepNext/>
              <w:rPr>
                <w:rFonts w:eastAsia="Times New Roman"/>
                <w:b/>
                <w:bCs/>
                <w:iCs/>
                <w:szCs w:val="20"/>
                <w:lang w:eastAsia="en-US"/>
              </w:rPr>
            </w:pPr>
            <w:r w:rsidRPr="0091214A">
              <w:rPr>
                <w:rFonts w:eastAsia="Times New Roman"/>
                <w:b/>
                <w:bCs/>
                <w:iCs/>
                <w:szCs w:val="20"/>
                <w:lang w:eastAsia="en-US"/>
              </w:rPr>
              <w:t>European Union</w:t>
            </w:r>
          </w:p>
          <w:p w14:paraId="195385A0" w14:textId="77777777" w:rsidR="00E644D1" w:rsidRPr="00744948" w:rsidRDefault="00E644D1" w:rsidP="00803F46">
            <w:pPr>
              <w:keepNext/>
              <w:rPr>
                <w:rFonts w:eastAsia="Times New Roman"/>
                <w:iCs/>
                <w:szCs w:val="20"/>
                <w:lang w:eastAsia="en-US"/>
              </w:rPr>
            </w:pPr>
            <w:r w:rsidRPr="00DD61F0">
              <w:rPr>
                <w:rFonts w:eastAsia="Times New Roman"/>
                <w:iCs/>
                <w:szCs w:val="20"/>
                <w:lang w:eastAsia="en-US"/>
              </w:rPr>
              <w:t>Once released to the environment, mercury persists in the environment, where it circulates between air, water, sediments, soil and biota in various forms. Mercury can be transformed to methylmercury, the most toxic form, which biomagnifies especially in the aquatic food chain</w:t>
            </w:r>
            <w:r>
              <w:rPr>
                <w:rFonts w:eastAsia="Times New Roman"/>
                <w:iCs/>
                <w:szCs w:val="20"/>
                <w:lang w:eastAsia="en-US"/>
              </w:rPr>
              <w:t>.</w:t>
            </w:r>
          </w:p>
        </w:tc>
      </w:tr>
      <w:tr w:rsidR="00E644D1" w:rsidRPr="00744948" w14:paraId="730D9E76" w14:textId="77777777" w:rsidTr="006C72FE">
        <w:tc>
          <w:tcPr>
            <w:tcW w:w="707" w:type="dxa"/>
          </w:tcPr>
          <w:p w14:paraId="30C3A1CA"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4.1.1</w:t>
            </w:r>
          </w:p>
        </w:tc>
        <w:tc>
          <w:tcPr>
            <w:tcW w:w="2443" w:type="dxa"/>
          </w:tcPr>
          <w:p w14:paraId="5C22957A" w14:textId="77777777" w:rsidR="00E644D1" w:rsidRPr="00AF0D6D" w:rsidRDefault="00E644D1" w:rsidP="00AF0D6D">
            <w:pPr>
              <w:rPr>
                <w:b/>
                <w:bCs/>
                <w:lang w:eastAsia="en-US"/>
              </w:rPr>
            </w:pPr>
            <w:r w:rsidRPr="00AF0D6D">
              <w:rPr>
                <w:b/>
                <w:bCs/>
                <w:lang w:eastAsia="en-US"/>
              </w:rPr>
              <w:t>Soil</w:t>
            </w:r>
          </w:p>
        </w:tc>
        <w:tc>
          <w:tcPr>
            <w:tcW w:w="6206" w:type="dxa"/>
          </w:tcPr>
          <w:p w14:paraId="35CD5405"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211D1078" w14:textId="77777777" w:rsidR="00E644D1" w:rsidRPr="00744948" w:rsidRDefault="00E644D1" w:rsidP="006C72FE">
            <w:pPr>
              <w:rPr>
                <w:rFonts w:eastAsia="Times New Roman"/>
                <w:iCs/>
                <w:szCs w:val="20"/>
                <w:lang w:eastAsia="en-US"/>
              </w:rPr>
            </w:pPr>
            <w:r w:rsidRPr="00B56F29">
              <w:rPr>
                <w:rFonts w:eastAsia="Times New Roman"/>
                <w:iCs/>
                <w:szCs w:val="20"/>
                <w:lang w:eastAsia="en-US"/>
              </w:rPr>
              <w:t>Mercury in soil is mostly bound to bulk organic matter and is susceptible to wash out in runoff only when attached to suspended soil or humus. Mercury has a long retention time in soil and as a result, the mercury accumulated in soil may continue to be released to surface waters and other media for long period of time, possibly hundreds of years.</w:t>
            </w:r>
          </w:p>
        </w:tc>
      </w:tr>
      <w:tr w:rsidR="00E644D1" w:rsidRPr="005D4864" w14:paraId="2B5A0C90" w14:textId="77777777" w:rsidTr="006C72FE">
        <w:tc>
          <w:tcPr>
            <w:tcW w:w="707" w:type="dxa"/>
          </w:tcPr>
          <w:p w14:paraId="6C851105"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4.1.2</w:t>
            </w:r>
          </w:p>
        </w:tc>
        <w:tc>
          <w:tcPr>
            <w:tcW w:w="2443" w:type="dxa"/>
          </w:tcPr>
          <w:p w14:paraId="47EAEC45" w14:textId="77777777" w:rsidR="00E644D1" w:rsidRPr="00AF0D6D" w:rsidRDefault="00E644D1" w:rsidP="00AF0D6D">
            <w:pPr>
              <w:rPr>
                <w:b/>
                <w:bCs/>
                <w:lang w:eastAsia="en-US"/>
              </w:rPr>
            </w:pPr>
            <w:r w:rsidRPr="00AF0D6D">
              <w:rPr>
                <w:b/>
                <w:bCs/>
                <w:lang w:eastAsia="en-US"/>
              </w:rPr>
              <w:t>Water</w:t>
            </w:r>
          </w:p>
        </w:tc>
        <w:tc>
          <w:tcPr>
            <w:tcW w:w="6206" w:type="dxa"/>
          </w:tcPr>
          <w:p w14:paraId="1A76EBDC" w14:textId="77777777" w:rsidR="00E644D1" w:rsidRPr="0091214A" w:rsidRDefault="00E644D1" w:rsidP="006C72FE">
            <w:pPr>
              <w:rPr>
                <w:rFonts w:eastAsia="Times New Roman"/>
                <w:b/>
                <w:bCs/>
                <w:iCs/>
                <w:szCs w:val="20"/>
                <w:lang w:eastAsia="en-US"/>
              </w:rPr>
            </w:pPr>
            <w:r>
              <w:rPr>
                <w:rFonts w:eastAsia="Times New Roman"/>
                <w:b/>
                <w:bCs/>
                <w:iCs/>
                <w:szCs w:val="20"/>
                <w:lang w:eastAsia="en-US"/>
              </w:rPr>
              <w:t>UNEP (2002)</w:t>
            </w:r>
          </w:p>
          <w:p w14:paraId="5F4313C3" w14:textId="77777777" w:rsidR="00E644D1" w:rsidRPr="005D4864" w:rsidRDefault="00E644D1" w:rsidP="006C72FE">
            <w:pPr>
              <w:rPr>
                <w:rFonts w:eastAsia="Times New Roman"/>
                <w:iCs/>
                <w:szCs w:val="20"/>
                <w:lang w:eastAsia="en-US"/>
              </w:rPr>
            </w:pPr>
            <w:r w:rsidRPr="005D4864">
              <w:rPr>
                <w:rFonts w:eastAsia="Times New Roman"/>
                <w:iCs/>
                <w:szCs w:val="20"/>
                <w:lang w:eastAsia="en-US"/>
              </w:rPr>
              <w:t xml:space="preserve">From open ocean studies, it is apparent that elemental mercury, dimethylmercury and, to a lesser extent, methylmercury are common constituents of the dissolved mercury pool in deep ocean waters. In open ocean surface waters dimethylmercury is lacking, maybe as a result of decomposition in the presence of light and an additional potential loss via </w:t>
            </w:r>
            <w:proofErr w:type="spellStart"/>
            <w:r w:rsidRPr="005D4864">
              <w:rPr>
                <w:rFonts w:eastAsia="Times New Roman"/>
                <w:iCs/>
                <w:szCs w:val="20"/>
                <w:lang w:eastAsia="en-US"/>
              </w:rPr>
              <w:t>e</w:t>
            </w:r>
            <w:r w:rsidR="00D609EE">
              <w:rPr>
                <w:rFonts w:eastAsia="Times New Roman"/>
                <w:iCs/>
                <w:szCs w:val="20"/>
                <w:lang w:eastAsia="en-US"/>
              </w:rPr>
              <w:t>vapour</w:t>
            </w:r>
            <w:r w:rsidRPr="005D4864">
              <w:rPr>
                <w:rFonts w:eastAsia="Times New Roman"/>
                <w:iCs/>
                <w:szCs w:val="20"/>
                <w:lang w:eastAsia="en-US"/>
              </w:rPr>
              <w:t>ation</w:t>
            </w:r>
            <w:proofErr w:type="spellEnd"/>
            <w:r w:rsidRPr="005D4864">
              <w:rPr>
                <w:rFonts w:eastAsia="Times New Roman"/>
                <w:iCs/>
                <w:szCs w:val="20"/>
                <w:lang w:eastAsia="en-US"/>
              </w:rPr>
              <w:t xml:space="preserve"> from the water surface. </w:t>
            </w:r>
            <w:r>
              <w:rPr>
                <w:rFonts w:eastAsia="Times New Roman"/>
                <w:iCs/>
                <w:szCs w:val="20"/>
                <w:lang w:eastAsia="en-US"/>
              </w:rPr>
              <w:t>R</w:t>
            </w:r>
            <w:r w:rsidRPr="005D4864">
              <w:rPr>
                <w:rFonts w:eastAsia="Times New Roman"/>
                <w:iCs/>
                <w:szCs w:val="20"/>
                <w:lang w:eastAsia="en-US"/>
              </w:rPr>
              <w:t>esults suggest that low oxygen conditions are not necessary for the formation of dimethylmercury in the open oceans.</w:t>
            </w:r>
            <w:r>
              <w:t xml:space="preserve"> </w:t>
            </w:r>
            <w:r w:rsidRPr="005D4864">
              <w:rPr>
                <w:rFonts w:eastAsia="Times New Roman"/>
                <w:iCs/>
                <w:szCs w:val="20"/>
                <w:lang w:eastAsia="en-US"/>
              </w:rPr>
              <w:t>This contrasts with temperate lake waters where methylmercury is more commonly occurring than dimethylmercury. Studies in freshwater and estuarine environments have shown that methylation of mercury is primarily taking place under low oxygen conditions and mainly by sulphate-reducing bacteria. Here methylmercury is the product of methylation of ionic mercury</w:t>
            </w:r>
            <w:r>
              <w:rPr>
                <w:rFonts w:eastAsia="Times New Roman"/>
                <w:iCs/>
                <w:szCs w:val="20"/>
                <w:lang w:eastAsia="en-US"/>
              </w:rPr>
              <w:t>.</w:t>
            </w:r>
          </w:p>
        </w:tc>
      </w:tr>
      <w:tr w:rsidR="00E644D1" w:rsidRPr="00744948" w14:paraId="39F1BF84" w14:textId="77777777" w:rsidTr="006C72FE">
        <w:tc>
          <w:tcPr>
            <w:tcW w:w="707" w:type="dxa"/>
          </w:tcPr>
          <w:p w14:paraId="38A0B94B"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4.1.3</w:t>
            </w:r>
          </w:p>
        </w:tc>
        <w:tc>
          <w:tcPr>
            <w:tcW w:w="2443" w:type="dxa"/>
          </w:tcPr>
          <w:p w14:paraId="08F148F1" w14:textId="77777777" w:rsidR="00E644D1" w:rsidRPr="00AF0D6D" w:rsidRDefault="00E644D1" w:rsidP="00AF0D6D">
            <w:pPr>
              <w:rPr>
                <w:b/>
                <w:bCs/>
                <w:lang w:eastAsia="en-US"/>
              </w:rPr>
            </w:pPr>
            <w:r w:rsidRPr="00AF0D6D">
              <w:rPr>
                <w:b/>
                <w:bCs/>
                <w:lang w:eastAsia="en-US"/>
              </w:rPr>
              <w:t>Air</w:t>
            </w:r>
          </w:p>
        </w:tc>
        <w:tc>
          <w:tcPr>
            <w:tcW w:w="6206" w:type="dxa"/>
          </w:tcPr>
          <w:p w14:paraId="2B87FF19"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1B5228BE" w14:textId="77777777" w:rsidR="00E644D1" w:rsidRPr="00744948" w:rsidRDefault="00E644D1" w:rsidP="006C72FE">
            <w:pPr>
              <w:autoSpaceDE w:val="0"/>
              <w:autoSpaceDN w:val="0"/>
              <w:adjustRightInd w:val="0"/>
              <w:rPr>
                <w:rFonts w:eastAsia="Times New Roman"/>
                <w:iCs/>
                <w:szCs w:val="20"/>
                <w:lang w:eastAsia="en-US"/>
              </w:rPr>
            </w:pPr>
            <w:r w:rsidRPr="00854CC3">
              <w:rPr>
                <w:rFonts w:eastAsia="Times New Roman"/>
                <w:iCs/>
                <w:szCs w:val="20"/>
                <w:lang w:eastAsia="en-US"/>
              </w:rPr>
              <w:t>Once released into the atmosphere, mercury can undergo long-range atmospheric transport,</w:t>
            </w:r>
            <w:r>
              <w:rPr>
                <w:rFonts w:eastAsia="Times New Roman"/>
                <w:iCs/>
                <w:szCs w:val="20"/>
                <w:lang w:eastAsia="en-US"/>
              </w:rPr>
              <w:t xml:space="preserve"> </w:t>
            </w:r>
            <w:r w:rsidRPr="00854CC3">
              <w:rPr>
                <w:rFonts w:eastAsia="Times New Roman"/>
                <w:iCs/>
                <w:szCs w:val="20"/>
                <w:lang w:eastAsia="en-US"/>
              </w:rPr>
              <w:t>hence the atmosphere is the most important pathway for the worldwide dispersion and</w:t>
            </w:r>
            <w:r>
              <w:rPr>
                <w:rFonts w:eastAsia="Times New Roman"/>
                <w:iCs/>
                <w:szCs w:val="20"/>
                <w:lang w:eastAsia="en-US"/>
              </w:rPr>
              <w:t xml:space="preserve"> </w:t>
            </w:r>
            <w:r w:rsidRPr="00854CC3">
              <w:rPr>
                <w:rFonts w:eastAsia="Times New Roman"/>
                <w:iCs/>
                <w:szCs w:val="20"/>
                <w:lang w:eastAsia="en-US"/>
              </w:rPr>
              <w:t xml:space="preserve">transport of mercury in the environment. </w:t>
            </w:r>
            <w:r w:rsidRPr="00B56F29">
              <w:rPr>
                <w:rFonts w:eastAsia="Times New Roman"/>
                <w:iCs/>
                <w:szCs w:val="20"/>
                <w:lang w:eastAsia="en-US"/>
              </w:rPr>
              <w:t>Elemental mercury in the atmosphere can undergo transformation into inorganic mercury forms, providing a significant pathway for deposition of emitted elemental mercury. Mercury vapour has an atmospheric residence time that is between 0.4 and 3 years. Emitted mercury vapour is converted to soluble forms, these soluble forms have residence times of a few weeks. Soluble forms of mercury are deposited by rain into soil and water.</w:t>
            </w:r>
            <w:r>
              <w:rPr>
                <w:rFonts w:eastAsia="Times New Roman"/>
                <w:iCs/>
                <w:szCs w:val="20"/>
                <w:lang w:eastAsia="en-US"/>
              </w:rPr>
              <w:t xml:space="preserve"> </w:t>
            </w:r>
          </w:p>
        </w:tc>
      </w:tr>
      <w:tr w:rsidR="00E644D1" w:rsidRPr="00B1179D" w14:paraId="44667AE7" w14:textId="77777777" w:rsidTr="006C72FE">
        <w:tc>
          <w:tcPr>
            <w:tcW w:w="707" w:type="dxa"/>
          </w:tcPr>
          <w:p w14:paraId="0A4CF12A"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4.1.4</w:t>
            </w:r>
          </w:p>
        </w:tc>
        <w:tc>
          <w:tcPr>
            <w:tcW w:w="2443" w:type="dxa"/>
          </w:tcPr>
          <w:p w14:paraId="44CC934D" w14:textId="77777777" w:rsidR="00E644D1" w:rsidRPr="00AF0D6D" w:rsidRDefault="00E644D1" w:rsidP="00AF0D6D">
            <w:pPr>
              <w:rPr>
                <w:b/>
                <w:bCs/>
                <w:lang w:eastAsia="en-US"/>
              </w:rPr>
            </w:pPr>
            <w:r w:rsidRPr="00AF0D6D">
              <w:rPr>
                <w:b/>
                <w:bCs/>
                <w:lang w:eastAsia="en-US"/>
              </w:rPr>
              <w:t>Bioconcentration</w:t>
            </w:r>
          </w:p>
        </w:tc>
        <w:tc>
          <w:tcPr>
            <w:tcW w:w="6206" w:type="dxa"/>
          </w:tcPr>
          <w:p w14:paraId="773BCFE7"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4CA3D671" w14:textId="77777777" w:rsidR="00E644D1" w:rsidRPr="00B1179D" w:rsidRDefault="00E644D1" w:rsidP="006C72FE">
            <w:pPr>
              <w:rPr>
                <w:rFonts w:eastAsia="Times New Roman"/>
                <w:snapToGrid w:val="0"/>
                <w:szCs w:val="20"/>
                <w:lang w:val="en-US" w:eastAsia="en-US"/>
              </w:rPr>
            </w:pPr>
            <w:r w:rsidRPr="00244BEB">
              <w:rPr>
                <w:rFonts w:eastAsia="Times New Roman"/>
                <w:iCs/>
                <w:szCs w:val="20"/>
                <w:lang w:eastAsia="en-US"/>
              </w:rPr>
              <w:t xml:space="preserve">The bioconcentration factor (BCF) of methylmercury in fish can range from 8140 to 85 700. Methylmercury' biomagnification is very high with a typical increase of more than 1 log unit between trophic levels, and </w:t>
            </w:r>
            <w:r w:rsidR="00D609EE">
              <w:rPr>
                <w:rFonts w:eastAsia="Times New Roman"/>
                <w:iCs/>
                <w:szCs w:val="20"/>
                <w:lang w:eastAsia="en-US"/>
              </w:rPr>
              <w:t xml:space="preserve">the </w:t>
            </w:r>
            <w:r w:rsidRPr="00244BEB">
              <w:rPr>
                <w:rFonts w:eastAsia="Times New Roman"/>
                <w:iCs/>
                <w:szCs w:val="20"/>
                <w:lang w:eastAsia="en-US"/>
              </w:rPr>
              <w:t>bioaccumulation factor BAF can reach values 10</w:t>
            </w:r>
            <w:r w:rsidRPr="0070111E">
              <w:rPr>
                <w:rFonts w:eastAsia="Times New Roman"/>
                <w:iCs/>
                <w:szCs w:val="20"/>
                <w:vertAlign w:val="superscript"/>
                <w:lang w:eastAsia="en-US"/>
              </w:rPr>
              <w:t>7</w:t>
            </w:r>
            <w:r w:rsidRPr="00244BEB">
              <w:rPr>
                <w:rFonts w:eastAsia="Times New Roman"/>
                <w:iCs/>
                <w:szCs w:val="20"/>
                <w:lang w:eastAsia="en-US"/>
              </w:rPr>
              <w:t xml:space="preserve"> times higher than the concentration measured in water</w:t>
            </w:r>
            <w:r>
              <w:rPr>
                <w:rFonts w:eastAsia="Times New Roman"/>
                <w:iCs/>
                <w:szCs w:val="20"/>
                <w:lang w:eastAsia="en-US"/>
              </w:rPr>
              <w:t>.</w:t>
            </w:r>
          </w:p>
        </w:tc>
      </w:tr>
      <w:tr w:rsidR="00E644D1" w:rsidRPr="00744948" w14:paraId="4E64750D" w14:textId="77777777" w:rsidTr="006C72FE">
        <w:tc>
          <w:tcPr>
            <w:tcW w:w="707" w:type="dxa"/>
          </w:tcPr>
          <w:p w14:paraId="2A85BF32"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4.1.5</w:t>
            </w:r>
          </w:p>
        </w:tc>
        <w:tc>
          <w:tcPr>
            <w:tcW w:w="2443" w:type="dxa"/>
          </w:tcPr>
          <w:p w14:paraId="68049B62" w14:textId="77777777" w:rsidR="00E644D1" w:rsidRPr="00AF0D6D" w:rsidRDefault="00E644D1" w:rsidP="00AF0D6D">
            <w:pPr>
              <w:rPr>
                <w:b/>
                <w:bCs/>
                <w:lang w:eastAsia="en-US"/>
              </w:rPr>
            </w:pPr>
            <w:r w:rsidRPr="00AF0D6D">
              <w:rPr>
                <w:b/>
                <w:bCs/>
                <w:lang w:eastAsia="en-US"/>
              </w:rPr>
              <w:t>Persistence</w:t>
            </w:r>
          </w:p>
        </w:tc>
        <w:tc>
          <w:tcPr>
            <w:tcW w:w="6206" w:type="dxa"/>
          </w:tcPr>
          <w:p w14:paraId="13C9DD9D"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42478FCD" w14:textId="77777777" w:rsidR="00E644D1" w:rsidRPr="00744948" w:rsidRDefault="00E644D1" w:rsidP="006C72FE">
            <w:pPr>
              <w:rPr>
                <w:rFonts w:eastAsia="Times New Roman"/>
                <w:iCs/>
                <w:szCs w:val="20"/>
                <w:lang w:eastAsia="en-US"/>
              </w:rPr>
            </w:pPr>
            <w:r w:rsidRPr="00854CC3">
              <w:rPr>
                <w:rFonts w:eastAsia="Times New Roman"/>
                <w:iCs/>
                <w:szCs w:val="20"/>
                <w:lang w:eastAsia="en-US"/>
              </w:rPr>
              <w:t xml:space="preserve">Elemental mercury </w:t>
            </w:r>
            <w:r w:rsidR="0070111E">
              <w:rPr>
                <w:rFonts w:eastAsia="Times New Roman"/>
                <w:iCs/>
                <w:szCs w:val="20"/>
                <w:lang w:eastAsia="en-US"/>
              </w:rPr>
              <w:t>can be considered</w:t>
            </w:r>
            <w:r w:rsidRPr="00854CC3">
              <w:rPr>
                <w:rFonts w:eastAsia="Times New Roman"/>
                <w:iCs/>
                <w:szCs w:val="20"/>
                <w:lang w:eastAsia="en-US"/>
              </w:rPr>
              <w:t xml:space="preserve"> persistent</w:t>
            </w:r>
            <w:r w:rsidR="0070111E">
              <w:rPr>
                <w:rFonts w:eastAsia="Times New Roman"/>
                <w:iCs/>
                <w:szCs w:val="20"/>
                <w:lang w:eastAsia="en-US"/>
              </w:rPr>
              <w:t>,</w:t>
            </w:r>
            <w:r w:rsidRPr="00854CC3">
              <w:rPr>
                <w:rFonts w:eastAsia="Times New Roman"/>
                <w:iCs/>
                <w:szCs w:val="20"/>
                <w:lang w:eastAsia="en-US"/>
              </w:rPr>
              <w:t xml:space="preserve"> as it is not removed from the environment through degradation processes</w:t>
            </w:r>
            <w:r>
              <w:rPr>
                <w:rFonts w:eastAsia="Times New Roman"/>
                <w:iCs/>
                <w:szCs w:val="20"/>
                <w:lang w:eastAsia="en-US"/>
              </w:rPr>
              <w:t xml:space="preserve"> </w:t>
            </w:r>
            <w:r w:rsidRPr="00854CC3">
              <w:rPr>
                <w:rFonts w:eastAsia="Times New Roman"/>
                <w:iCs/>
                <w:szCs w:val="20"/>
                <w:lang w:eastAsia="en-US"/>
              </w:rPr>
              <w:t>and will always be potentially available for cycling into methylmercury (through complex</w:t>
            </w:r>
            <w:r>
              <w:rPr>
                <w:rFonts w:eastAsia="Times New Roman"/>
                <w:iCs/>
                <w:szCs w:val="20"/>
                <w:lang w:eastAsia="en-US"/>
              </w:rPr>
              <w:t xml:space="preserve"> </w:t>
            </w:r>
            <w:r w:rsidRPr="00854CC3">
              <w:rPr>
                <w:rFonts w:eastAsia="Times New Roman"/>
                <w:iCs/>
                <w:szCs w:val="20"/>
                <w:lang w:eastAsia="en-US"/>
              </w:rPr>
              <w:t>processes under appropriate conditions, even at equilibrium there is a near constant level of</w:t>
            </w:r>
            <w:r>
              <w:rPr>
                <w:rFonts w:eastAsia="Times New Roman"/>
                <w:iCs/>
                <w:szCs w:val="20"/>
                <w:lang w:eastAsia="en-US"/>
              </w:rPr>
              <w:t xml:space="preserve"> </w:t>
            </w:r>
            <w:r w:rsidRPr="00854CC3">
              <w:rPr>
                <w:rFonts w:eastAsia="Times New Roman"/>
                <w:iCs/>
                <w:szCs w:val="20"/>
                <w:lang w:eastAsia="en-US"/>
              </w:rPr>
              <w:t>methylmercury in sediment). Any increase in the environmental pool of inorganic mercury</w:t>
            </w:r>
            <w:r>
              <w:rPr>
                <w:rFonts w:eastAsia="Times New Roman"/>
                <w:iCs/>
                <w:szCs w:val="20"/>
                <w:lang w:eastAsia="en-US"/>
              </w:rPr>
              <w:t xml:space="preserve"> </w:t>
            </w:r>
            <w:r w:rsidRPr="00854CC3">
              <w:rPr>
                <w:rFonts w:eastAsia="Times New Roman"/>
                <w:iCs/>
                <w:szCs w:val="20"/>
                <w:lang w:eastAsia="en-US"/>
              </w:rPr>
              <w:t>will provide an additional source of methylmercury, and this source will persist for many</w:t>
            </w:r>
            <w:r>
              <w:rPr>
                <w:rFonts w:eastAsia="Times New Roman"/>
                <w:iCs/>
                <w:szCs w:val="20"/>
                <w:lang w:eastAsia="en-US"/>
              </w:rPr>
              <w:t xml:space="preserve"> </w:t>
            </w:r>
            <w:r w:rsidRPr="00854CC3">
              <w:rPr>
                <w:rFonts w:eastAsia="Times New Roman"/>
                <w:iCs/>
                <w:szCs w:val="20"/>
                <w:lang w:eastAsia="en-US"/>
              </w:rPr>
              <w:t>years.</w:t>
            </w:r>
          </w:p>
        </w:tc>
      </w:tr>
      <w:tr w:rsidR="00E644D1" w:rsidRPr="00B1179D" w14:paraId="45B1C5F0" w14:textId="77777777" w:rsidTr="006C72FE">
        <w:tc>
          <w:tcPr>
            <w:tcW w:w="707" w:type="dxa"/>
          </w:tcPr>
          <w:p w14:paraId="7EEB5BCB"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w:t>
            </w:r>
          </w:p>
        </w:tc>
        <w:tc>
          <w:tcPr>
            <w:tcW w:w="2443" w:type="dxa"/>
          </w:tcPr>
          <w:p w14:paraId="262D866A" w14:textId="77777777" w:rsidR="00E644D1" w:rsidRPr="00AF0D6D" w:rsidRDefault="00E644D1" w:rsidP="00AF0D6D">
            <w:pPr>
              <w:rPr>
                <w:b/>
                <w:bCs/>
                <w:lang w:eastAsia="en-US"/>
              </w:rPr>
            </w:pPr>
            <w:r w:rsidRPr="00AF0D6D">
              <w:rPr>
                <w:b/>
                <w:bCs/>
                <w:lang w:eastAsia="en-US"/>
              </w:rPr>
              <w:t>Effects on non-target organisms</w:t>
            </w:r>
          </w:p>
        </w:tc>
        <w:tc>
          <w:tcPr>
            <w:tcW w:w="6206" w:type="dxa"/>
          </w:tcPr>
          <w:p w14:paraId="3B8A5A2A" w14:textId="77777777" w:rsidR="00E644D1" w:rsidRPr="00B1179D" w:rsidRDefault="00E644D1" w:rsidP="006C72FE">
            <w:pPr>
              <w:rPr>
                <w:rFonts w:eastAsia="Times New Roman"/>
                <w:snapToGrid w:val="0"/>
                <w:szCs w:val="20"/>
                <w:lang w:val="en-US" w:eastAsia="en-US"/>
              </w:rPr>
            </w:pPr>
            <w:r>
              <w:rPr>
                <w:rFonts w:eastAsia="Times New Roman"/>
                <w:snapToGrid w:val="0"/>
                <w:szCs w:val="20"/>
                <w:lang w:val="en-US" w:eastAsia="en-US"/>
              </w:rPr>
              <w:t>N/A</w:t>
            </w:r>
          </w:p>
        </w:tc>
      </w:tr>
      <w:tr w:rsidR="00E644D1" w:rsidRPr="00B56F29" w14:paraId="457A9993" w14:textId="77777777" w:rsidTr="006C72FE">
        <w:tc>
          <w:tcPr>
            <w:tcW w:w="707" w:type="dxa"/>
          </w:tcPr>
          <w:p w14:paraId="5003695E"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4.2.1</w:t>
            </w:r>
          </w:p>
        </w:tc>
        <w:tc>
          <w:tcPr>
            <w:tcW w:w="2443" w:type="dxa"/>
          </w:tcPr>
          <w:p w14:paraId="2DEE2B8B" w14:textId="77777777" w:rsidR="00E644D1" w:rsidRPr="00AF0D6D" w:rsidRDefault="00E644D1" w:rsidP="00AF0D6D">
            <w:pPr>
              <w:rPr>
                <w:b/>
                <w:bCs/>
                <w:lang w:eastAsia="en-US"/>
              </w:rPr>
            </w:pPr>
            <w:r w:rsidRPr="00AF0D6D">
              <w:rPr>
                <w:b/>
                <w:bCs/>
                <w:lang w:eastAsia="en-US"/>
              </w:rPr>
              <w:t>Terrestrial vertebrates</w:t>
            </w:r>
          </w:p>
        </w:tc>
        <w:tc>
          <w:tcPr>
            <w:tcW w:w="6206" w:type="dxa"/>
          </w:tcPr>
          <w:p w14:paraId="250938A8"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6DCF519B" w14:textId="77777777" w:rsidR="00E644D1" w:rsidRPr="00B56F29" w:rsidRDefault="00E644D1" w:rsidP="006C72FE">
            <w:pPr>
              <w:rPr>
                <w:rFonts w:eastAsia="Times New Roman"/>
                <w:iCs/>
                <w:szCs w:val="20"/>
                <w:lang w:eastAsia="en-US"/>
              </w:rPr>
            </w:pPr>
            <w:r w:rsidRPr="00B56F29">
              <w:rPr>
                <w:rFonts w:eastAsia="Times New Roman"/>
                <w:iCs/>
                <w:szCs w:val="20"/>
                <w:lang w:eastAsia="en-US"/>
              </w:rPr>
              <w:t xml:space="preserve">As in humans, mercury exposure of animals may result in severe </w:t>
            </w:r>
            <w:r w:rsidRPr="00B56F29">
              <w:rPr>
                <w:rFonts w:eastAsia="Times New Roman"/>
                <w:iCs/>
                <w:szCs w:val="20"/>
                <w:lang w:eastAsia="en-US"/>
              </w:rPr>
              <w:lastRenderedPageBreak/>
              <w:t>neurological effects. These effects were clearly seen in the Minamata poisoning, where birds experienced severe difficulties in flying, and domestic animals, especially cats, showed signs of</w:t>
            </w:r>
            <w:r w:rsidR="00F16A88">
              <w:rPr>
                <w:rFonts w:eastAsia="Times New Roman"/>
                <w:iCs/>
                <w:szCs w:val="20"/>
                <w:lang w:eastAsia="en-US"/>
              </w:rPr>
              <w:t xml:space="preserve"> </w:t>
            </w:r>
            <w:r w:rsidRPr="00B56F29">
              <w:rPr>
                <w:rFonts w:eastAsia="Times New Roman"/>
                <w:iCs/>
                <w:szCs w:val="20"/>
                <w:lang w:eastAsia="en-US"/>
              </w:rPr>
              <w:t>severe neurological intoxication.</w:t>
            </w:r>
            <w:r>
              <w:rPr>
                <w:rFonts w:eastAsia="Times New Roman"/>
                <w:iCs/>
                <w:szCs w:val="20"/>
                <w:lang w:eastAsia="en-US"/>
              </w:rPr>
              <w:t xml:space="preserve"> </w:t>
            </w:r>
            <w:r w:rsidRPr="00B56F29">
              <w:rPr>
                <w:rFonts w:eastAsia="Times New Roman"/>
                <w:iCs/>
                <w:szCs w:val="20"/>
                <w:lang w:eastAsia="en-US"/>
              </w:rPr>
              <w:t>In birds, methylmercury has been associated with eggshell thinning in the 1950's and 1960's. Methylmercury was used as a fungicidal seed dressing, and severe poisoning of wildlife was observed in Scandinavia and North America. Populations of pheasants and other seed-eating birds, as well as birds of prey were drastically reduced and</w:t>
            </w:r>
            <w:r w:rsidR="00F16A88">
              <w:rPr>
                <w:rFonts w:eastAsia="Times New Roman"/>
                <w:iCs/>
                <w:szCs w:val="20"/>
                <w:lang w:eastAsia="en-US"/>
              </w:rPr>
              <w:t>,</w:t>
            </w:r>
            <w:r w:rsidRPr="00B56F29">
              <w:rPr>
                <w:rFonts w:eastAsia="Times New Roman"/>
                <w:iCs/>
                <w:szCs w:val="20"/>
                <w:lang w:eastAsia="en-US"/>
              </w:rPr>
              <w:t xml:space="preserve"> in some areas</w:t>
            </w:r>
            <w:r w:rsidR="00F16A88">
              <w:rPr>
                <w:rFonts w:eastAsia="Times New Roman"/>
                <w:iCs/>
                <w:szCs w:val="20"/>
                <w:lang w:eastAsia="en-US"/>
              </w:rPr>
              <w:t>,</w:t>
            </w:r>
            <w:r w:rsidRPr="00B56F29">
              <w:rPr>
                <w:rFonts w:eastAsia="Times New Roman"/>
                <w:iCs/>
                <w:szCs w:val="20"/>
                <w:lang w:eastAsia="en-US"/>
              </w:rPr>
              <w:t xml:space="preserve"> nearly disappeared. Adverse effects of mercury on reproduction can occur at egg concentrations as low as 0.05 to 2.0 mg/kg (wet weight). Eggs of certain Canadian species were reported to be in this range, and concentrations in the eggs of several other Canadian species were said to continue to increase and were approaching these levels.</w:t>
            </w:r>
          </w:p>
        </w:tc>
      </w:tr>
      <w:tr w:rsidR="00E644D1" w:rsidRPr="00744948" w14:paraId="4D4B780D" w14:textId="77777777" w:rsidTr="006C72FE">
        <w:tc>
          <w:tcPr>
            <w:tcW w:w="707" w:type="dxa"/>
          </w:tcPr>
          <w:p w14:paraId="0B627665"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lastRenderedPageBreak/>
              <w:t>4.2.2</w:t>
            </w:r>
          </w:p>
        </w:tc>
        <w:tc>
          <w:tcPr>
            <w:tcW w:w="2443" w:type="dxa"/>
          </w:tcPr>
          <w:p w14:paraId="5B64B9EF" w14:textId="77777777" w:rsidR="00E644D1" w:rsidRPr="00AF0D6D" w:rsidRDefault="00E644D1" w:rsidP="00AF0D6D">
            <w:pPr>
              <w:rPr>
                <w:b/>
                <w:bCs/>
                <w:lang w:eastAsia="en-US"/>
              </w:rPr>
            </w:pPr>
            <w:r w:rsidRPr="00AF0D6D">
              <w:rPr>
                <w:b/>
                <w:bCs/>
                <w:lang w:eastAsia="en-US"/>
              </w:rPr>
              <w:t>Aquatic species</w:t>
            </w:r>
          </w:p>
        </w:tc>
        <w:tc>
          <w:tcPr>
            <w:tcW w:w="6206" w:type="dxa"/>
          </w:tcPr>
          <w:p w14:paraId="423DFD56"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5F2C9B37" w14:textId="77777777" w:rsidR="00E644D1" w:rsidRPr="00744948" w:rsidRDefault="00E644D1" w:rsidP="006C72FE">
            <w:pPr>
              <w:autoSpaceDE w:val="0"/>
              <w:autoSpaceDN w:val="0"/>
              <w:adjustRightInd w:val="0"/>
              <w:rPr>
                <w:sz w:val="23"/>
                <w:szCs w:val="23"/>
                <w:lang w:val="en-US" w:eastAsia="en-US"/>
              </w:rPr>
            </w:pPr>
            <w:r w:rsidRPr="00B56F29">
              <w:rPr>
                <w:rFonts w:eastAsia="Times New Roman"/>
                <w:iCs/>
                <w:szCs w:val="20"/>
                <w:lang w:eastAsia="en-US"/>
              </w:rPr>
              <w:t>To adult fish, direct exposure to methylmercury from the surrounding water is generally not a serious concern. However</w:t>
            </w:r>
            <w:r>
              <w:rPr>
                <w:rFonts w:eastAsia="Times New Roman"/>
                <w:iCs/>
                <w:szCs w:val="20"/>
                <w:lang w:eastAsia="en-US"/>
              </w:rPr>
              <w:t>,</w:t>
            </w:r>
            <w:r w:rsidRPr="00B56F29">
              <w:rPr>
                <w:rFonts w:eastAsia="Times New Roman"/>
                <w:iCs/>
                <w:szCs w:val="20"/>
                <w:lang w:eastAsia="en-US"/>
              </w:rPr>
              <w:t xml:space="preserve"> evidence suggests that mercury exposure to early life stages of some fish can affect growth, development and hormonal status at levels within a factor of 10 of levels encountered in “pristine” lakes. Effects from indirect exposure via dietary uptake and maternal transfer of methylmercury to eggs and developing embryos might be of concern</w:t>
            </w:r>
            <w:r>
              <w:rPr>
                <w:sz w:val="23"/>
                <w:szCs w:val="23"/>
                <w:lang w:val="en-US" w:eastAsia="en-US"/>
              </w:rPr>
              <w:t>.</w:t>
            </w:r>
          </w:p>
        </w:tc>
      </w:tr>
      <w:tr w:rsidR="00E644D1" w:rsidRPr="000A54E0" w14:paraId="79033D02" w14:textId="77777777" w:rsidTr="006C72FE">
        <w:tc>
          <w:tcPr>
            <w:tcW w:w="707" w:type="dxa"/>
          </w:tcPr>
          <w:p w14:paraId="63497A37"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4.2.3</w:t>
            </w:r>
          </w:p>
        </w:tc>
        <w:tc>
          <w:tcPr>
            <w:tcW w:w="2443" w:type="dxa"/>
          </w:tcPr>
          <w:p w14:paraId="14E2749D" w14:textId="77777777" w:rsidR="00E644D1" w:rsidRPr="00AF0D6D" w:rsidRDefault="00E644D1" w:rsidP="00AF0D6D">
            <w:pPr>
              <w:rPr>
                <w:b/>
                <w:bCs/>
                <w:lang w:eastAsia="en-US"/>
              </w:rPr>
            </w:pPr>
            <w:r w:rsidRPr="00AF0D6D">
              <w:rPr>
                <w:b/>
                <w:bCs/>
                <w:lang w:eastAsia="en-US"/>
              </w:rPr>
              <w:t>Honeybees and other arthropods</w:t>
            </w:r>
          </w:p>
        </w:tc>
        <w:tc>
          <w:tcPr>
            <w:tcW w:w="6206" w:type="dxa"/>
          </w:tcPr>
          <w:p w14:paraId="4EA05C56" w14:textId="77777777" w:rsidR="00E644D1" w:rsidRPr="000A54E0" w:rsidRDefault="00E644D1" w:rsidP="006C72FE">
            <w:pPr>
              <w:rPr>
                <w:rFonts w:eastAsia="Times New Roman"/>
                <w:iCs/>
                <w:snapToGrid w:val="0"/>
                <w:szCs w:val="22"/>
                <w:lang w:eastAsia="en-US"/>
              </w:rPr>
            </w:pPr>
            <w:r w:rsidRPr="000A54E0">
              <w:rPr>
                <w:rFonts w:eastAsia="Times New Roman"/>
                <w:iCs/>
                <w:snapToGrid w:val="0"/>
                <w:szCs w:val="22"/>
                <w:lang w:eastAsia="en-US"/>
              </w:rPr>
              <w:t>Not available</w:t>
            </w:r>
          </w:p>
        </w:tc>
      </w:tr>
      <w:tr w:rsidR="00E644D1" w:rsidRPr="000A54E0" w14:paraId="39B013FF" w14:textId="77777777" w:rsidTr="006C72FE">
        <w:tc>
          <w:tcPr>
            <w:tcW w:w="707" w:type="dxa"/>
          </w:tcPr>
          <w:p w14:paraId="0C4879E7"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4.2.4</w:t>
            </w:r>
          </w:p>
        </w:tc>
        <w:tc>
          <w:tcPr>
            <w:tcW w:w="2443" w:type="dxa"/>
          </w:tcPr>
          <w:p w14:paraId="53795647" w14:textId="77777777" w:rsidR="00E644D1" w:rsidRPr="00AF0D6D" w:rsidRDefault="00E644D1" w:rsidP="00AF0D6D">
            <w:pPr>
              <w:rPr>
                <w:b/>
                <w:bCs/>
                <w:lang w:eastAsia="en-US"/>
              </w:rPr>
            </w:pPr>
            <w:r w:rsidRPr="00AF0D6D">
              <w:rPr>
                <w:b/>
                <w:bCs/>
                <w:lang w:eastAsia="en-US"/>
              </w:rPr>
              <w:t>Earthworms</w:t>
            </w:r>
          </w:p>
        </w:tc>
        <w:tc>
          <w:tcPr>
            <w:tcW w:w="6206" w:type="dxa"/>
          </w:tcPr>
          <w:p w14:paraId="70EFC6F2" w14:textId="77777777" w:rsidR="00E644D1" w:rsidRPr="000A54E0" w:rsidRDefault="00E644D1" w:rsidP="006C72FE">
            <w:pPr>
              <w:rPr>
                <w:rFonts w:eastAsia="Times New Roman"/>
                <w:iCs/>
                <w:snapToGrid w:val="0"/>
                <w:szCs w:val="22"/>
                <w:lang w:val="en-US" w:eastAsia="en-US"/>
              </w:rPr>
            </w:pPr>
            <w:r w:rsidRPr="000A54E0">
              <w:rPr>
                <w:rFonts w:eastAsia="Times New Roman"/>
                <w:iCs/>
                <w:snapToGrid w:val="0"/>
                <w:szCs w:val="22"/>
                <w:lang w:eastAsia="en-US"/>
              </w:rPr>
              <w:t>Not available</w:t>
            </w:r>
          </w:p>
        </w:tc>
      </w:tr>
      <w:tr w:rsidR="00E644D1" w:rsidRPr="00B56F29" w14:paraId="2EB829C2" w14:textId="77777777" w:rsidTr="006C72FE">
        <w:tc>
          <w:tcPr>
            <w:tcW w:w="707" w:type="dxa"/>
          </w:tcPr>
          <w:p w14:paraId="32FBEEA3"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4.2.5</w:t>
            </w:r>
          </w:p>
        </w:tc>
        <w:tc>
          <w:tcPr>
            <w:tcW w:w="2443" w:type="dxa"/>
          </w:tcPr>
          <w:p w14:paraId="05FEA442" w14:textId="77777777" w:rsidR="00E644D1" w:rsidRPr="00AF0D6D" w:rsidRDefault="00E644D1" w:rsidP="00AF0D6D">
            <w:pPr>
              <w:rPr>
                <w:b/>
                <w:bCs/>
                <w:lang w:eastAsia="en-US"/>
              </w:rPr>
            </w:pPr>
            <w:r w:rsidRPr="00AF0D6D">
              <w:rPr>
                <w:b/>
                <w:bCs/>
                <w:lang w:eastAsia="en-US"/>
              </w:rPr>
              <w:t>Soil microorganisms</w:t>
            </w:r>
          </w:p>
        </w:tc>
        <w:tc>
          <w:tcPr>
            <w:tcW w:w="6206" w:type="dxa"/>
          </w:tcPr>
          <w:p w14:paraId="14F01E91" w14:textId="77777777" w:rsidR="00E644D1" w:rsidRPr="0091214A" w:rsidRDefault="00E644D1" w:rsidP="006C72FE">
            <w:pPr>
              <w:rPr>
                <w:rFonts w:eastAsia="Times New Roman"/>
                <w:b/>
                <w:bCs/>
                <w:iCs/>
                <w:szCs w:val="20"/>
                <w:lang w:eastAsia="en-US"/>
              </w:rPr>
            </w:pPr>
            <w:r w:rsidRPr="0091214A">
              <w:rPr>
                <w:rFonts w:eastAsia="Times New Roman"/>
                <w:b/>
                <w:bCs/>
                <w:iCs/>
                <w:szCs w:val="20"/>
                <w:lang w:eastAsia="en-US"/>
              </w:rPr>
              <w:t>European Union</w:t>
            </w:r>
          </w:p>
          <w:p w14:paraId="5AD1690E" w14:textId="77777777" w:rsidR="00E644D1" w:rsidRPr="00B56F29" w:rsidRDefault="00E644D1" w:rsidP="006C72FE">
            <w:pPr>
              <w:autoSpaceDE w:val="0"/>
              <w:autoSpaceDN w:val="0"/>
              <w:adjustRightInd w:val="0"/>
              <w:rPr>
                <w:rFonts w:eastAsia="Times New Roman"/>
                <w:iCs/>
                <w:szCs w:val="20"/>
                <w:lang w:eastAsia="en-US"/>
              </w:rPr>
            </w:pPr>
            <w:r w:rsidRPr="00B56F29">
              <w:rPr>
                <w:rFonts w:eastAsia="Times New Roman"/>
                <w:iCs/>
                <w:szCs w:val="20"/>
                <w:lang w:eastAsia="en-US"/>
              </w:rPr>
              <w:t>Mercury is toxic to micro-organisms and has long been used to inhibit the growth of bacteria in laboratory experiments. Evidence suggests that mercury is responsible for a reduction of micro-biological activity vital to the terrestrial food chain in soils over large parts of Europe – and potentially in many other places in the world with similar soil characteristics</w:t>
            </w:r>
            <w:r w:rsidR="0070111E">
              <w:rPr>
                <w:rFonts w:eastAsia="Times New Roman"/>
                <w:iCs/>
                <w:szCs w:val="20"/>
                <w:lang w:eastAsia="en-US"/>
              </w:rPr>
              <w:t>.</w:t>
            </w:r>
          </w:p>
        </w:tc>
      </w:tr>
      <w:tr w:rsidR="00E644D1" w:rsidRPr="00744948" w14:paraId="0E8A1AF8" w14:textId="77777777" w:rsidTr="006C72FE">
        <w:tc>
          <w:tcPr>
            <w:tcW w:w="707" w:type="dxa"/>
          </w:tcPr>
          <w:p w14:paraId="6A26D1FD" w14:textId="77777777" w:rsidR="00E644D1" w:rsidRPr="00B1179D" w:rsidRDefault="00E644D1" w:rsidP="006C72FE">
            <w:pPr>
              <w:keepLines/>
              <w:rPr>
                <w:rFonts w:eastAsia="Times New Roman"/>
                <w:b/>
                <w:szCs w:val="20"/>
                <w:lang w:eastAsia="en-US"/>
              </w:rPr>
            </w:pPr>
            <w:r w:rsidRPr="00B1179D">
              <w:rPr>
                <w:rFonts w:eastAsia="Times New Roman"/>
                <w:b/>
                <w:szCs w:val="20"/>
                <w:lang w:eastAsia="en-US"/>
              </w:rPr>
              <w:t>4.2.6</w:t>
            </w:r>
          </w:p>
        </w:tc>
        <w:tc>
          <w:tcPr>
            <w:tcW w:w="2443" w:type="dxa"/>
          </w:tcPr>
          <w:p w14:paraId="6E52C0EE" w14:textId="77777777" w:rsidR="00E644D1" w:rsidRPr="00AF0D6D" w:rsidRDefault="00E644D1" w:rsidP="00AF0D6D">
            <w:pPr>
              <w:rPr>
                <w:b/>
                <w:bCs/>
                <w:lang w:eastAsia="en-US"/>
              </w:rPr>
            </w:pPr>
            <w:r w:rsidRPr="00AF0D6D">
              <w:rPr>
                <w:b/>
                <w:bCs/>
                <w:lang w:eastAsia="en-US"/>
              </w:rPr>
              <w:t>Terrestrial plants</w:t>
            </w:r>
          </w:p>
        </w:tc>
        <w:tc>
          <w:tcPr>
            <w:tcW w:w="6206" w:type="dxa"/>
          </w:tcPr>
          <w:p w14:paraId="77C06B7C" w14:textId="77777777" w:rsidR="00E644D1" w:rsidRPr="0091214A" w:rsidRDefault="00E644D1" w:rsidP="006C72FE">
            <w:pPr>
              <w:autoSpaceDE w:val="0"/>
              <w:autoSpaceDN w:val="0"/>
              <w:adjustRightInd w:val="0"/>
              <w:rPr>
                <w:rFonts w:eastAsia="Times New Roman"/>
                <w:b/>
                <w:bCs/>
                <w:iCs/>
                <w:szCs w:val="20"/>
                <w:lang w:eastAsia="en-US"/>
              </w:rPr>
            </w:pPr>
            <w:r w:rsidRPr="0091214A">
              <w:rPr>
                <w:rFonts w:eastAsia="Times New Roman"/>
                <w:b/>
                <w:bCs/>
                <w:iCs/>
                <w:szCs w:val="20"/>
                <w:lang w:eastAsia="en-US"/>
              </w:rPr>
              <w:t>UNEP (2002)</w:t>
            </w:r>
          </w:p>
          <w:p w14:paraId="2BE86C29" w14:textId="77777777" w:rsidR="00E644D1" w:rsidRPr="00744948" w:rsidRDefault="00E644D1" w:rsidP="006C72FE">
            <w:pPr>
              <w:autoSpaceDE w:val="0"/>
              <w:autoSpaceDN w:val="0"/>
              <w:adjustRightInd w:val="0"/>
              <w:rPr>
                <w:rFonts w:eastAsia="Times New Roman"/>
                <w:iCs/>
                <w:szCs w:val="20"/>
                <w:lang w:eastAsia="en-US"/>
              </w:rPr>
            </w:pPr>
            <w:r w:rsidRPr="005D4864">
              <w:rPr>
                <w:rFonts w:eastAsia="Times New Roman"/>
                <w:iCs/>
                <w:szCs w:val="20"/>
                <w:lang w:eastAsia="en-US"/>
              </w:rPr>
              <w:t>Terrestrial plants are fairly insensitive to the toxic effects of mercury compounds. Mercury is, however, accumulated in higher plants, especially in pere</w:t>
            </w:r>
            <w:r>
              <w:rPr>
                <w:rFonts w:eastAsia="Times New Roman"/>
                <w:iCs/>
                <w:szCs w:val="20"/>
                <w:lang w:eastAsia="en-US"/>
              </w:rPr>
              <w:t>n</w:t>
            </w:r>
            <w:r w:rsidRPr="005D4864">
              <w:rPr>
                <w:rFonts w:eastAsia="Times New Roman"/>
                <w:iCs/>
                <w:szCs w:val="20"/>
                <w:lang w:eastAsia="en-US"/>
              </w:rPr>
              <w:t>nials. The primary effect observed in plants is</w:t>
            </w:r>
            <w:r>
              <w:rPr>
                <w:rFonts w:eastAsia="Times New Roman"/>
                <w:iCs/>
                <w:szCs w:val="20"/>
                <w:lang w:eastAsia="en-US"/>
              </w:rPr>
              <w:t xml:space="preserve"> associated with root tips.</w:t>
            </w:r>
          </w:p>
        </w:tc>
      </w:tr>
    </w:tbl>
    <w:p w14:paraId="633946CD" w14:textId="77777777" w:rsidR="00E644D1" w:rsidRPr="00266BB6" w:rsidRDefault="00E644D1" w:rsidP="00266BB6">
      <w:pPr>
        <w:pStyle w:val="Heading2"/>
      </w:pPr>
      <w:bookmarkStart w:id="24" w:name="_Toc154010826"/>
      <w:r w:rsidRPr="00266BB6">
        <w:t>5.</w:t>
      </w:r>
      <w:r w:rsidRPr="00266BB6">
        <w:tab/>
      </w:r>
      <w:r w:rsidR="00862A48" w:rsidRPr="00266BB6">
        <w:t>Environmental exposure/risk evaluation</w:t>
      </w:r>
      <w:bookmarkEnd w:id="24"/>
    </w:p>
    <w:tbl>
      <w:tblPr>
        <w:tblW w:w="9356" w:type="dxa"/>
        <w:tblInd w:w="108" w:type="dxa"/>
        <w:tblLayout w:type="fixed"/>
        <w:tblLook w:val="0000" w:firstRow="0" w:lastRow="0" w:firstColumn="0" w:lastColumn="0" w:noHBand="0" w:noVBand="0"/>
      </w:tblPr>
      <w:tblGrid>
        <w:gridCol w:w="707"/>
        <w:gridCol w:w="2443"/>
        <w:gridCol w:w="6206"/>
      </w:tblGrid>
      <w:tr w:rsidR="00862A48" w:rsidRPr="00A84B50" w14:paraId="60594343" w14:textId="77777777" w:rsidTr="00862A48">
        <w:tc>
          <w:tcPr>
            <w:tcW w:w="707" w:type="dxa"/>
          </w:tcPr>
          <w:p w14:paraId="275E14D8"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t>5.1</w:t>
            </w:r>
          </w:p>
        </w:tc>
        <w:tc>
          <w:tcPr>
            <w:tcW w:w="2443" w:type="dxa"/>
          </w:tcPr>
          <w:p w14:paraId="5F526B4C" w14:textId="77777777" w:rsidR="00862A48" w:rsidRPr="00A16D0D" w:rsidRDefault="00862A48" w:rsidP="00A16D0D">
            <w:pPr>
              <w:rPr>
                <w:b/>
                <w:bCs/>
                <w:lang w:eastAsia="en-US"/>
              </w:rPr>
            </w:pPr>
            <w:r w:rsidRPr="00A16D0D">
              <w:rPr>
                <w:b/>
                <w:bCs/>
                <w:lang w:eastAsia="en-US"/>
              </w:rPr>
              <w:t>Terrestrial vertebrates</w:t>
            </w:r>
          </w:p>
        </w:tc>
        <w:tc>
          <w:tcPr>
            <w:tcW w:w="6206" w:type="dxa"/>
          </w:tcPr>
          <w:p w14:paraId="77EB31BA" w14:textId="77777777" w:rsidR="00862A48" w:rsidRPr="0091214A" w:rsidRDefault="00862A48" w:rsidP="006C72FE">
            <w:pPr>
              <w:autoSpaceDE w:val="0"/>
              <w:autoSpaceDN w:val="0"/>
              <w:adjustRightInd w:val="0"/>
              <w:rPr>
                <w:rFonts w:eastAsia="Times New Roman"/>
                <w:b/>
                <w:bCs/>
                <w:iCs/>
                <w:szCs w:val="20"/>
                <w:lang w:eastAsia="en-US"/>
              </w:rPr>
            </w:pPr>
            <w:r w:rsidRPr="0091214A">
              <w:rPr>
                <w:rFonts w:eastAsia="Times New Roman"/>
                <w:b/>
                <w:bCs/>
                <w:iCs/>
                <w:szCs w:val="20"/>
                <w:lang w:eastAsia="en-US"/>
              </w:rPr>
              <w:t>UNEP (2002)</w:t>
            </w:r>
          </w:p>
          <w:p w14:paraId="14DF94B9" w14:textId="77777777" w:rsidR="00862A48" w:rsidRPr="00A84B50" w:rsidRDefault="00862A48" w:rsidP="006C72FE">
            <w:pPr>
              <w:autoSpaceDE w:val="0"/>
              <w:autoSpaceDN w:val="0"/>
              <w:adjustRightInd w:val="0"/>
              <w:rPr>
                <w:rFonts w:eastAsia="Times New Roman"/>
                <w:iCs/>
                <w:szCs w:val="20"/>
                <w:lang w:eastAsia="en-US"/>
              </w:rPr>
            </w:pPr>
            <w:r w:rsidRPr="00A84B50">
              <w:rPr>
                <w:rFonts w:eastAsia="Times New Roman"/>
                <w:iCs/>
                <w:szCs w:val="20"/>
                <w:lang w:eastAsia="en-US"/>
              </w:rPr>
              <w:t>On the global scale, the Arctic region has been in focus because of mercury’s particular tendency to long-range transport. It is important to acknowledge, however, that impacts of mercury are by no means restricted to the Arctic region. The same food web characteristics and similar dependence on a mercury contaminated food source are found in specific ecosystems and human communities in many countries around the world, particularly where a fish diet is predominant. Consequently, fish-eating birds and mammals are more highly exposed to mercury than any other known denizens of the aquatic ecosystem</w:t>
            </w:r>
            <w:r>
              <w:rPr>
                <w:rFonts w:eastAsia="Times New Roman"/>
                <w:iCs/>
                <w:szCs w:val="20"/>
                <w:lang w:eastAsia="en-US"/>
              </w:rPr>
              <w:t>.</w:t>
            </w:r>
          </w:p>
        </w:tc>
      </w:tr>
      <w:tr w:rsidR="00862A48" w:rsidRPr="00744948" w14:paraId="38B15BE4" w14:textId="77777777" w:rsidTr="006C72FE">
        <w:tc>
          <w:tcPr>
            <w:tcW w:w="707" w:type="dxa"/>
          </w:tcPr>
          <w:p w14:paraId="5B765B2C"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t>5.2</w:t>
            </w:r>
          </w:p>
        </w:tc>
        <w:tc>
          <w:tcPr>
            <w:tcW w:w="2443" w:type="dxa"/>
          </w:tcPr>
          <w:p w14:paraId="66948E29" w14:textId="77777777" w:rsidR="00862A48" w:rsidRPr="00A16D0D" w:rsidRDefault="00862A48" w:rsidP="00A16D0D">
            <w:pPr>
              <w:rPr>
                <w:b/>
                <w:bCs/>
                <w:lang w:eastAsia="en-US"/>
              </w:rPr>
            </w:pPr>
            <w:r w:rsidRPr="00A16D0D">
              <w:rPr>
                <w:b/>
                <w:bCs/>
                <w:lang w:eastAsia="en-US"/>
              </w:rPr>
              <w:t>Aquatic species</w:t>
            </w:r>
          </w:p>
        </w:tc>
        <w:tc>
          <w:tcPr>
            <w:tcW w:w="6206" w:type="dxa"/>
          </w:tcPr>
          <w:p w14:paraId="6C1E994D" w14:textId="77777777" w:rsidR="00862A48" w:rsidRPr="0091214A" w:rsidRDefault="00862A48" w:rsidP="006C72FE">
            <w:pPr>
              <w:rPr>
                <w:rFonts w:eastAsia="Times New Roman"/>
                <w:b/>
                <w:bCs/>
                <w:iCs/>
                <w:szCs w:val="20"/>
                <w:lang w:eastAsia="en-US"/>
              </w:rPr>
            </w:pPr>
            <w:r w:rsidRPr="0091214A">
              <w:rPr>
                <w:rFonts w:eastAsia="Times New Roman"/>
                <w:b/>
                <w:bCs/>
                <w:iCs/>
                <w:szCs w:val="20"/>
                <w:lang w:eastAsia="en-US"/>
              </w:rPr>
              <w:t>European Union</w:t>
            </w:r>
          </w:p>
          <w:p w14:paraId="6CEC1A14" w14:textId="77777777" w:rsidR="00862A48" w:rsidRPr="00744948" w:rsidRDefault="0070111E" w:rsidP="006C72FE">
            <w:pPr>
              <w:autoSpaceDE w:val="0"/>
              <w:autoSpaceDN w:val="0"/>
              <w:adjustRightInd w:val="0"/>
              <w:rPr>
                <w:sz w:val="23"/>
                <w:szCs w:val="23"/>
                <w:lang w:val="en-US" w:eastAsia="en-US"/>
              </w:rPr>
            </w:pPr>
            <w:r>
              <w:rPr>
                <w:rFonts w:eastAsia="Times New Roman"/>
                <w:iCs/>
                <w:szCs w:val="20"/>
                <w:lang w:eastAsia="en-US"/>
              </w:rPr>
              <w:t xml:space="preserve">The </w:t>
            </w:r>
            <w:r w:rsidR="00862A48" w:rsidRPr="003B1EFB">
              <w:rPr>
                <w:rFonts w:eastAsia="Times New Roman"/>
                <w:iCs/>
                <w:szCs w:val="20"/>
                <w:lang w:eastAsia="en-US"/>
              </w:rPr>
              <w:t>elimination of methylmercury from fish is very slow, which causes fish to accumulate methylmercury over time. Moreover, methylmercury biomagnifies throughout the many aquatic trophic levels. The highest levels in the aquatic food web are found in fish that are apical predators of older age (such as king mackerel, pike, shark, swordfish, walleye,</w:t>
            </w:r>
            <w:r w:rsidR="00934AC4">
              <w:rPr>
                <w:rFonts w:eastAsia="Times New Roman"/>
                <w:iCs/>
                <w:szCs w:val="20"/>
                <w:lang w:eastAsia="en-US"/>
              </w:rPr>
              <w:t xml:space="preserve"> </w:t>
            </w:r>
            <w:r w:rsidR="00862A48" w:rsidRPr="003B1EFB">
              <w:rPr>
                <w:rFonts w:eastAsia="Times New Roman"/>
                <w:iCs/>
                <w:szCs w:val="20"/>
                <w:lang w:eastAsia="en-US"/>
              </w:rPr>
              <w:t xml:space="preserve">barracuda, large tuna, scabbard, and marlin) and fish-consuming mammals </w:t>
            </w:r>
            <w:r w:rsidR="00862A48" w:rsidRPr="003B1EFB">
              <w:rPr>
                <w:rFonts w:eastAsia="Times New Roman"/>
                <w:iCs/>
                <w:szCs w:val="20"/>
                <w:lang w:eastAsia="en-US"/>
              </w:rPr>
              <w:lastRenderedPageBreak/>
              <w:t>such as seals and toothed whales</w:t>
            </w:r>
            <w:r w:rsidR="00862A48">
              <w:rPr>
                <w:sz w:val="23"/>
                <w:szCs w:val="23"/>
                <w:lang w:val="en-US" w:eastAsia="en-US"/>
              </w:rPr>
              <w:t>.</w:t>
            </w:r>
          </w:p>
        </w:tc>
      </w:tr>
      <w:tr w:rsidR="00862A48" w:rsidRPr="00B1179D" w14:paraId="07333F9A" w14:textId="77777777" w:rsidTr="006C72FE">
        <w:tc>
          <w:tcPr>
            <w:tcW w:w="707" w:type="dxa"/>
          </w:tcPr>
          <w:p w14:paraId="071EFF97"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lastRenderedPageBreak/>
              <w:t>5.3</w:t>
            </w:r>
          </w:p>
        </w:tc>
        <w:tc>
          <w:tcPr>
            <w:tcW w:w="2443" w:type="dxa"/>
          </w:tcPr>
          <w:p w14:paraId="4B3FFB74" w14:textId="77777777" w:rsidR="00862A48" w:rsidRPr="00A16D0D" w:rsidRDefault="00394650" w:rsidP="00A16D0D">
            <w:pPr>
              <w:rPr>
                <w:b/>
                <w:bCs/>
                <w:lang w:eastAsia="en-US"/>
              </w:rPr>
            </w:pPr>
            <w:r w:rsidRPr="00A16D0D">
              <w:rPr>
                <w:b/>
                <w:bCs/>
                <w:lang w:eastAsia="en-US"/>
              </w:rPr>
              <w:t>Honeybees</w:t>
            </w:r>
          </w:p>
        </w:tc>
        <w:tc>
          <w:tcPr>
            <w:tcW w:w="6206" w:type="dxa"/>
          </w:tcPr>
          <w:p w14:paraId="709E626F" w14:textId="77777777" w:rsidR="00862A48" w:rsidRPr="00B1179D" w:rsidRDefault="00862A48" w:rsidP="006C72FE">
            <w:pPr>
              <w:rPr>
                <w:rFonts w:eastAsia="Times New Roman"/>
                <w:i/>
                <w:snapToGrid w:val="0"/>
                <w:szCs w:val="22"/>
                <w:lang w:eastAsia="en-US"/>
              </w:rPr>
            </w:pPr>
            <w:r w:rsidRPr="000A54E0">
              <w:rPr>
                <w:rFonts w:eastAsia="Times New Roman"/>
                <w:iCs/>
                <w:snapToGrid w:val="0"/>
                <w:szCs w:val="22"/>
                <w:lang w:eastAsia="en-US"/>
              </w:rPr>
              <w:t>Not available</w:t>
            </w:r>
          </w:p>
        </w:tc>
      </w:tr>
      <w:tr w:rsidR="00862A48" w:rsidRPr="00B1179D" w14:paraId="2AA5880B" w14:textId="77777777" w:rsidTr="006C72FE">
        <w:tc>
          <w:tcPr>
            <w:tcW w:w="707" w:type="dxa"/>
          </w:tcPr>
          <w:p w14:paraId="541BB369"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t>5.4</w:t>
            </w:r>
          </w:p>
        </w:tc>
        <w:tc>
          <w:tcPr>
            <w:tcW w:w="2443" w:type="dxa"/>
          </w:tcPr>
          <w:p w14:paraId="45BEB363" w14:textId="77777777" w:rsidR="00862A48" w:rsidRPr="00A16D0D" w:rsidRDefault="00862A48" w:rsidP="00A16D0D">
            <w:pPr>
              <w:rPr>
                <w:b/>
                <w:bCs/>
                <w:lang w:eastAsia="en-US"/>
              </w:rPr>
            </w:pPr>
            <w:r w:rsidRPr="00A16D0D">
              <w:rPr>
                <w:b/>
                <w:bCs/>
                <w:lang w:eastAsia="en-US"/>
              </w:rPr>
              <w:t>Earthworms</w:t>
            </w:r>
          </w:p>
        </w:tc>
        <w:tc>
          <w:tcPr>
            <w:tcW w:w="6206" w:type="dxa"/>
          </w:tcPr>
          <w:p w14:paraId="3FF4BA8D" w14:textId="77777777" w:rsidR="00862A48" w:rsidRPr="00B1179D" w:rsidRDefault="00862A48" w:rsidP="006C72FE">
            <w:pPr>
              <w:rPr>
                <w:rFonts w:eastAsia="Times New Roman"/>
                <w:i/>
                <w:snapToGrid w:val="0"/>
                <w:szCs w:val="22"/>
                <w:lang w:eastAsia="en-US"/>
              </w:rPr>
            </w:pPr>
            <w:r w:rsidRPr="000A54E0">
              <w:rPr>
                <w:rFonts w:eastAsia="Times New Roman"/>
                <w:iCs/>
                <w:snapToGrid w:val="0"/>
                <w:szCs w:val="22"/>
                <w:lang w:eastAsia="en-US"/>
              </w:rPr>
              <w:t>Not available</w:t>
            </w:r>
          </w:p>
        </w:tc>
      </w:tr>
      <w:tr w:rsidR="00862A48" w:rsidRPr="00B1179D" w14:paraId="7B258B09" w14:textId="77777777" w:rsidTr="006C72FE">
        <w:tc>
          <w:tcPr>
            <w:tcW w:w="707" w:type="dxa"/>
          </w:tcPr>
          <w:p w14:paraId="2B60D927"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t>5.5</w:t>
            </w:r>
          </w:p>
        </w:tc>
        <w:tc>
          <w:tcPr>
            <w:tcW w:w="2443" w:type="dxa"/>
          </w:tcPr>
          <w:p w14:paraId="3D7767C3" w14:textId="77777777" w:rsidR="00862A48" w:rsidRPr="00A16D0D" w:rsidRDefault="00862A48" w:rsidP="00A16D0D">
            <w:pPr>
              <w:rPr>
                <w:b/>
                <w:bCs/>
                <w:lang w:eastAsia="en-US"/>
              </w:rPr>
            </w:pPr>
            <w:r w:rsidRPr="00A16D0D">
              <w:rPr>
                <w:b/>
                <w:bCs/>
                <w:lang w:eastAsia="en-US"/>
              </w:rPr>
              <w:t>Soil microorganisms</w:t>
            </w:r>
          </w:p>
        </w:tc>
        <w:tc>
          <w:tcPr>
            <w:tcW w:w="6206" w:type="dxa"/>
          </w:tcPr>
          <w:p w14:paraId="28D47F54" w14:textId="77777777" w:rsidR="00862A48" w:rsidRPr="00B1179D" w:rsidRDefault="00934AC4" w:rsidP="006C72FE">
            <w:pPr>
              <w:rPr>
                <w:rFonts w:eastAsia="Times New Roman"/>
                <w:i/>
                <w:snapToGrid w:val="0"/>
                <w:szCs w:val="22"/>
                <w:lang w:eastAsia="en-US"/>
              </w:rPr>
            </w:pPr>
            <w:r w:rsidRPr="000A54E0">
              <w:rPr>
                <w:rFonts w:eastAsia="Times New Roman"/>
                <w:iCs/>
                <w:snapToGrid w:val="0"/>
                <w:szCs w:val="22"/>
                <w:lang w:eastAsia="en-US"/>
              </w:rPr>
              <w:t>Not available</w:t>
            </w:r>
          </w:p>
        </w:tc>
      </w:tr>
      <w:tr w:rsidR="00862A48" w:rsidRPr="00854CC3" w14:paraId="7520E25B" w14:textId="77777777" w:rsidTr="006C72FE">
        <w:tc>
          <w:tcPr>
            <w:tcW w:w="707" w:type="dxa"/>
          </w:tcPr>
          <w:p w14:paraId="6A53CA15" w14:textId="77777777" w:rsidR="00862A48" w:rsidRPr="00B1179D" w:rsidRDefault="00862A48" w:rsidP="006C72FE">
            <w:pPr>
              <w:keepLines/>
              <w:rPr>
                <w:rFonts w:eastAsia="Times New Roman"/>
                <w:b/>
                <w:szCs w:val="20"/>
                <w:lang w:eastAsia="en-US"/>
              </w:rPr>
            </w:pPr>
            <w:r w:rsidRPr="00B1179D">
              <w:rPr>
                <w:rFonts w:eastAsia="Times New Roman"/>
                <w:b/>
                <w:szCs w:val="20"/>
                <w:lang w:eastAsia="en-US"/>
              </w:rPr>
              <w:t>5.6</w:t>
            </w:r>
          </w:p>
        </w:tc>
        <w:tc>
          <w:tcPr>
            <w:tcW w:w="2443" w:type="dxa"/>
          </w:tcPr>
          <w:p w14:paraId="2B7C8489" w14:textId="77777777" w:rsidR="00862A48" w:rsidRPr="00A16D0D" w:rsidRDefault="00862A48" w:rsidP="00A16D0D">
            <w:pPr>
              <w:rPr>
                <w:b/>
                <w:bCs/>
                <w:lang w:eastAsia="en-US"/>
              </w:rPr>
            </w:pPr>
            <w:r w:rsidRPr="00A16D0D">
              <w:rPr>
                <w:b/>
                <w:bCs/>
                <w:lang w:eastAsia="en-US"/>
              </w:rPr>
              <w:t>Summary – overall risk evaluation</w:t>
            </w:r>
          </w:p>
        </w:tc>
        <w:tc>
          <w:tcPr>
            <w:tcW w:w="6206" w:type="dxa"/>
          </w:tcPr>
          <w:p w14:paraId="62F54DBD" w14:textId="77777777" w:rsidR="00862A48" w:rsidRPr="0091214A" w:rsidRDefault="00862A48" w:rsidP="006C72FE">
            <w:pPr>
              <w:rPr>
                <w:rFonts w:eastAsia="Times New Roman"/>
                <w:b/>
                <w:bCs/>
                <w:iCs/>
                <w:szCs w:val="20"/>
                <w:lang w:eastAsia="en-US"/>
              </w:rPr>
            </w:pPr>
            <w:r w:rsidRPr="0091214A">
              <w:rPr>
                <w:rFonts w:eastAsia="Times New Roman"/>
                <w:b/>
                <w:bCs/>
                <w:iCs/>
                <w:szCs w:val="20"/>
                <w:lang w:eastAsia="en-US"/>
              </w:rPr>
              <w:t>European Union</w:t>
            </w:r>
          </w:p>
          <w:p w14:paraId="77B440EB" w14:textId="77777777" w:rsidR="00862A48" w:rsidRPr="00854CC3" w:rsidRDefault="00862A48" w:rsidP="006C72FE">
            <w:pPr>
              <w:rPr>
                <w:rFonts w:eastAsia="Times New Roman"/>
                <w:iCs/>
                <w:szCs w:val="20"/>
                <w:lang w:eastAsia="en-US"/>
              </w:rPr>
            </w:pPr>
            <w:r w:rsidRPr="00854CC3">
              <w:rPr>
                <w:rFonts w:eastAsia="Times New Roman"/>
                <w:iCs/>
                <w:szCs w:val="20"/>
                <w:lang w:eastAsia="en-US"/>
              </w:rPr>
              <w:t xml:space="preserve">Mercury </w:t>
            </w:r>
            <w:r w:rsidR="0070111E">
              <w:rPr>
                <w:rFonts w:eastAsia="Times New Roman"/>
                <w:iCs/>
                <w:szCs w:val="20"/>
                <w:lang w:eastAsia="en-US"/>
              </w:rPr>
              <w:t>occurs</w:t>
            </w:r>
            <w:r w:rsidRPr="00854CC3">
              <w:rPr>
                <w:rFonts w:eastAsia="Times New Roman"/>
                <w:iCs/>
                <w:szCs w:val="20"/>
                <w:lang w:eastAsia="en-US"/>
              </w:rPr>
              <w:t xml:space="preserve"> both naturally and as an introduced contaminant in the environment. Anthropogenic emissions have widespread impacts on human and environmental health.</w:t>
            </w:r>
          </w:p>
          <w:p w14:paraId="592B81D6" w14:textId="77777777" w:rsidR="00862A48" w:rsidRPr="00854CC3" w:rsidRDefault="00862A48" w:rsidP="006C72FE">
            <w:pPr>
              <w:rPr>
                <w:rFonts w:eastAsia="Times New Roman"/>
                <w:iCs/>
                <w:szCs w:val="20"/>
                <w:lang w:eastAsia="en-US"/>
              </w:rPr>
            </w:pPr>
            <w:r w:rsidRPr="00854CC3">
              <w:rPr>
                <w:rFonts w:eastAsia="Times New Roman"/>
                <w:iCs/>
                <w:szCs w:val="20"/>
                <w:lang w:eastAsia="en-US"/>
              </w:rPr>
              <w:t xml:space="preserve">Mercury is </w:t>
            </w:r>
            <w:r w:rsidR="0070111E">
              <w:rPr>
                <w:rFonts w:eastAsia="Times New Roman"/>
                <w:iCs/>
                <w:szCs w:val="20"/>
                <w:lang w:eastAsia="en-US"/>
              </w:rPr>
              <w:t xml:space="preserve">a </w:t>
            </w:r>
            <w:r w:rsidRPr="00854CC3">
              <w:rPr>
                <w:rFonts w:eastAsia="Times New Roman"/>
                <w:iCs/>
                <w:szCs w:val="20"/>
                <w:lang w:eastAsia="en-US"/>
              </w:rPr>
              <w:t>globa</w:t>
            </w:r>
            <w:r w:rsidR="0070111E">
              <w:rPr>
                <w:rFonts w:eastAsia="Times New Roman"/>
                <w:iCs/>
                <w:szCs w:val="20"/>
                <w:lang w:eastAsia="en-US"/>
              </w:rPr>
              <w:t>l</w:t>
            </w:r>
            <w:r w:rsidRPr="00854CC3">
              <w:rPr>
                <w:rFonts w:eastAsia="Times New Roman"/>
                <w:iCs/>
                <w:szCs w:val="20"/>
                <w:lang w:eastAsia="en-US"/>
              </w:rPr>
              <w:t xml:space="preserve"> pollutan</w:t>
            </w:r>
            <w:r w:rsidR="0070111E">
              <w:rPr>
                <w:rFonts w:eastAsia="Times New Roman"/>
                <w:iCs/>
                <w:szCs w:val="20"/>
                <w:lang w:eastAsia="en-US"/>
              </w:rPr>
              <w:t>t that</w:t>
            </w:r>
            <w:r w:rsidRPr="00854CC3">
              <w:rPr>
                <w:rFonts w:eastAsia="Times New Roman"/>
                <w:iCs/>
                <w:szCs w:val="20"/>
                <w:lang w:eastAsia="en-US"/>
              </w:rPr>
              <w:t xml:space="preserve"> cannot be broken down </w:t>
            </w:r>
            <w:r w:rsidR="0070111E">
              <w:rPr>
                <w:rFonts w:eastAsia="Times New Roman"/>
                <w:iCs/>
                <w:szCs w:val="20"/>
                <w:lang w:eastAsia="en-US"/>
              </w:rPr>
              <w:t xml:space="preserve">in the environment </w:t>
            </w:r>
            <w:r w:rsidRPr="00854CC3">
              <w:rPr>
                <w:rFonts w:eastAsia="Times New Roman"/>
                <w:iCs/>
                <w:szCs w:val="20"/>
                <w:lang w:eastAsia="en-US"/>
              </w:rPr>
              <w:t>to any harmless form. Once emitted, mercury enters the complex biogeochemical cycle. After intensive use of mercury over many years mercury can be found in almost all environmental compartments, like the atmosphere, soil and water systems and in biota all over the world. The formation of methylmercury and subsequent biomagnification in food chains considerably increases risks posed by mercury causing, among others, chronic intoxications of people, although it is difficult to determine the proportion of mercury contaminating the environment, which is turned into methylmercury. Therefore</w:t>
            </w:r>
            <w:r>
              <w:rPr>
                <w:rFonts w:eastAsia="Times New Roman"/>
                <w:iCs/>
                <w:szCs w:val="20"/>
                <w:lang w:eastAsia="en-US"/>
              </w:rPr>
              <w:t>,</w:t>
            </w:r>
            <w:r w:rsidRPr="00854CC3">
              <w:rPr>
                <w:rFonts w:eastAsia="Times New Roman"/>
                <w:iCs/>
                <w:szCs w:val="20"/>
                <w:lang w:eastAsia="en-US"/>
              </w:rPr>
              <w:t xml:space="preserve"> it is necessary to reduce the risk of exposure to mercury for humans and the environment. The key, long term benefit of reducing mercury emissions will be decreased levels of mercury in the environment. This, in turn, will lead to lower levels of human exposure to mercury, including methylmercury in fish, with resultant health benefits. It will also reduce the impacts of mercury on soils and biodiversity.</w:t>
            </w:r>
          </w:p>
        </w:tc>
      </w:tr>
    </w:tbl>
    <w:p w14:paraId="0998A151" w14:textId="77777777" w:rsidR="00AA6543" w:rsidRDefault="00AA6543" w:rsidP="00744948">
      <w:pPr>
        <w:pStyle w:val="Heading1"/>
        <w:rPr>
          <w:sz w:val="10"/>
          <w:szCs w:val="10"/>
        </w:rPr>
      </w:pPr>
      <w:r w:rsidRPr="00AA6543">
        <w:rPr>
          <w:sz w:val="10"/>
          <w:szCs w:val="10"/>
        </w:rPr>
        <w:br w:type="page"/>
      </w:r>
      <w:bookmarkStart w:id="25" w:name="_Toc154010827"/>
      <w:r w:rsidR="00744948" w:rsidRPr="00B1179D">
        <w:lastRenderedPageBreak/>
        <w:t>Annex 2</w:t>
      </w:r>
      <w:r w:rsidR="00744948">
        <w:t>:</w:t>
      </w:r>
      <w:r w:rsidR="00744948" w:rsidRPr="00B1179D">
        <w:t xml:space="preserve"> Details on final regulatory actions reported</w:t>
      </w:r>
      <w:bookmarkEnd w:id="25"/>
    </w:p>
    <w:p w14:paraId="3F715567" w14:textId="77777777" w:rsidR="00AA6543" w:rsidRPr="00AA6543" w:rsidRDefault="00AA6543" w:rsidP="00AA6543">
      <w:pPr>
        <w:tabs>
          <w:tab w:val="left" w:pos="-720"/>
          <w:tab w:val="left" w:pos="0"/>
          <w:tab w:val="left" w:pos="720"/>
        </w:tabs>
        <w:suppressAutoHyphens/>
        <w:rPr>
          <w:rFonts w:eastAsia="Times New Roman"/>
          <w:sz w:val="10"/>
          <w:szCs w:val="10"/>
          <w:lang w:eastAsia="en-US"/>
        </w:rPr>
      </w:pPr>
    </w:p>
    <w:p w14:paraId="79E61400" w14:textId="77777777" w:rsidR="00AA6543" w:rsidRPr="00AA6543" w:rsidRDefault="00886DE7" w:rsidP="008B550E">
      <w:pPr>
        <w:pStyle w:val="Heading3"/>
        <w:rPr>
          <w:sz w:val="10"/>
          <w:szCs w:val="10"/>
        </w:rPr>
      </w:pPr>
      <w:r>
        <w:t>Colombia</w:t>
      </w:r>
    </w:p>
    <w:tbl>
      <w:tblPr>
        <w:tblW w:w="0" w:type="auto"/>
        <w:tblLayout w:type="fixed"/>
        <w:tblLook w:val="0000" w:firstRow="0" w:lastRow="0" w:firstColumn="0" w:lastColumn="0" w:noHBand="0" w:noVBand="0"/>
      </w:tblPr>
      <w:tblGrid>
        <w:gridCol w:w="534"/>
        <w:gridCol w:w="1842"/>
        <w:gridCol w:w="7127"/>
      </w:tblGrid>
      <w:tr w:rsidR="00AA6543" w:rsidRPr="00744948" w14:paraId="1729E9E2" w14:textId="77777777" w:rsidTr="00B1179D">
        <w:tc>
          <w:tcPr>
            <w:tcW w:w="534" w:type="dxa"/>
          </w:tcPr>
          <w:p w14:paraId="0A9A3E10"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1</w:t>
            </w:r>
            <w:r w:rsidR="00744948">
              <w:rPr>
                <w:rFonts w:eastAsia="Times New Roman"/>
                <w:b/>
                <w:bCs/>
                <w:snapToGrid w:val="0"/>
                <w:szCs w:val="20"/>
                <w:lang w:eastAsia="en-US"/>
              </w:rPr>
              <w:t>.</w:t>
            </w:r>
          </w:p>
        </w:tc>
        <w:tc>
          <w:tcPr>
            <w:tcW w:w="1842" w:type="dxa"/>
          </w:tcPr>
          <w:p w14:paraId="5A4B9B3E" w14:textId="77777777" w:rsidR="00AA6543" w:rsidRPr="002177BB" w:rsidRDefault="00AA6543" w:rsidP="002177BB">
            <w:pPr>
              <w:rPr>
                <w:b/>
                <w:bCs/>
                <w:lang w:eastAsia="en-US"/>
              </w:rPr>
            </w:pPr>
            <w:r w:rsidRPr="002177BB">
              <w:rPr>
                <w:b/>
                <w:bCs/>
                <w:lang w:eastAsia="en-US"/>
              </w:rPr>
              <w:t>Effective date(s) of entry into force of actions</w:t>
            </w:r>
          </w:p>
        </w:tc>
        <w:tc>
          <w:tcPr>
            <w:tcW w:w="7127" w:type="dxa"/>
          </w:tcPr>
          <w:p w14:paraId="218F728A" w14:textId="77777777" w:rsidR="00AA6543" w:rsidRPr="00744948" w:rsidRDefault="00851634" w:rsidP="00744948">
            <w:pPr>
              <w:rPr>
                <w:rFonts w:eastAsia="Times New Roman"/>
                <w:szCs w:val="20"/>
                <w:lang w:eastAsia="en-US"/>
              </w:rPr>
            </w:pPr>
            <w:r w:rsidRPr="00744948">
              <w:rPr>
                <w:rFonts w:eastAsia="Times New Roman"/>
                <w:szCs w:val="20"/>
                <w:lang w:eastAsia="en-US"/>
              </w:rPr>
              <w:t>15 July 2013</w:t>
            </w:r>
          </w:p>
        </w:tc>
      </w:tr>
      <w:tr w:rsidR="00AA6543" w:rsidRPr="00744948" w14:paraId="3921E8E2" w14:textId="77777777" w:rsidTr="00B1179D">
        <w:tc>
          <w:tcPr>
            <w:tcW w:w="534" w:type="dxa"/>
          </w:tcPr>
          <w:p w14:paraId="3DFE3D19" w14:textId="77777777" w:rsidR="00AA6543" w:rsidRPr="00744948" w:rsidRDefault="00AA6543" w:rsidP="00744948">
            <w:pPr>
              <w:widowControl w:val="0"/>
              <w:rPr>
                <w:rFonts w:eastAsia="Times New Roman"/>
                <w:b/>
                <w:bCs/>
                <w:snapToGrid w:val="0"/>
                <w:szCs w:val="20"/>
                <w:lang w:eastAsia="en-US"/>
              </w:rPr>
            </w:pPr>
          </w:p>
        </w:tc>
        <w:tc>
          <w:tcPr>
            <w:tcW w:w="1842" w:type="dxa"/>
          </w:tcPr>
          <w:p w14:paraId="5D7AB22F" w14:textId="77777777" w:rsidR="00AA6543" w:rsidRPr="002177BB" w:rsidRDefault="00AA6543" w:rsidP="002177BB">
            <w:pPr>
              <w:rPr>
                <w:b/>
                <w:bCs/>
                <w:lang w:eastAsia="en-US"/>
              </w:rPr>
            </w:pPr>
            <w:r w:rsidRPr="002177BB">
              <w:rPr>
                <w:b/>
                <w:bCs/>
                <w:lang w:eastAsia="en-US"/>
              </w:rPr>
              <w:t>Reference to the regulatory document</w:t>
            </w:r>
          </w:p>
        </w:tc>
        <w:tc>
          <w:tcPr>
            <w:tcW w:w="7127" w:type="dxa"/>
          </w:tcPr>
          <w:p w14:paraId="4712A791" w14:textId="77777777" w:rsidR="004C1BA1" w:rsidRPr="00744948" w:rsidRDefault="004C1BA1" w:rsidP="00744948">
            <w:pPr>
              <w:rPr>
                <w:rFonts w:eastAsia="Times New Roman"/>
                <w:szCs w:val="20"/>
                <w:lang w:val="it-IT" w:eastAsia="en-US"/>
              </w:rPr>
            </w:pPr>
            <w:r w:rsidRPr="00744948">
              <w:rPr>
                <w:rFonts w:eastAsia="Times New Roman"/>
                <w:szCs w:val="20"/>
                <w:lang w:val="it-IT" w:eastAsia="en-US"/>
              </w:rPr>
              <w:t xml:space="preserve">Ley 1658 de 2013 (Anexo I) </w:t>
            </w:r>
          </w:p>
          <w:p w14:paraId="31B32E22" w14:textId="77777777" w:rsidR="00AA6543" w:rsidRPr="00744948" w:rsidRDefault="004C1BA1" w:rsidP="00744948">
            <w:pPr>
              <w:rPr>
                <w:rFonts w:eastAsia="Times New Roman"/>
                <w:szCs w:val="20"/>
                <w:lang w:val="it-IT" w:eastAsia="en-US"/>
              </w:rPr>
            </w:pPr>
            <w:r w:rsidRPr="00744948">
              <w:rPr>
                <w:rFonts w:eastAsia="Times New Roman"/>
                <w:szCs w:val="20"/>
                <w:lang w:val="it-IT" w:eastAsia="en-US"/>
              </w:rPr>
              <w:t>DIARIO OFICIAL A</w:t>
            </w:r>
            <w:r w:rsidR="00791DEA" w:rsidRPr="00744948">
              <w:rPr>
                <w:rFonts w:eastAsia="Times New Roman"/>
                <w:szCs w:val="20"/>
                <w:lang w:val="it-IT" w:eastAsia="en-US"/>
              </w:rPr>
              <w:t>Ñ</w:t>
            </w:r>
            <w:r w:rsidRPr="00744948">
              <w:rPr>
                <w:rFonts w:eastAsia="Times New Roman"/>
                <w:szCs w:val="20"/>
                <w:lang w:val="it-IT" w:eastAsia="en-US"/>
              </w:rPr>
              <w:t>O</w:t>
            </w:r>
            <w:r w:rsidR="00791DEA" w:rsidRPr="00744948">
              <w:rPr>
                <w:rFonts w:eastAsia="Times New Roman"/>
                <w:szCs w:val="20"/>
                <w:lang w:val="it-IT" w:eastAsia="en-US"/>
              </w:rPr>
              <w:t xml:space="preserve"> CXCLIX. N. 48.852. 15, JULIO, PAG.6</w:t>
            </w:r>
          </w:p>
          <w:p w14:paraId="41FD9AA1" w14:textId="77777777" w:rsidR="00791DEA" w:rsidRPr="00744948" w:rsidRDefault="00000000" w:rsidP="00744948">
            <w:pPr>
              <w:rPr>
                <w:rFonts w:eastAsia="Times New Roman"/>
                <w:szCs w:val="20"/>
                <w:lang w:val="it-IT" w:eastAsia="en-US"/>
              </w:rPr>
            </w:pPr>
            <w:hyperlink r:id="rId28" w:history="1">
              <w:r w:rsidR="00791DEA" w:rsidRPr="00744948">
                <w:rPr>
                  <w:rStyle w:val="Hyperlink"/>
                  <w:rFonts w:eastAsia="Times New Roman"/>
                  <w:szCs w:val="20"/>
                  <w:lang w:val="it-IT" w:eastAsia="en-US"/>
                </w:rPr>
                <w:t>http://www.suin-juriscol.gov.co/viewDocument.asp?ruta=Leyes/1685943</w:t>
              </w:r>
            </w:hyperlink>
          </w:p>
        </w:tc>
      </w:tr>
      <w:tr w:rsidR="00AA6543" w:rsidRPr="00744948" w14:paraId="4EB5584D" w14:textId="77777777" w:rsidTr="00B1179D">
        <w:tc>
          <w:tcPr>
            <w:tcW w:w="534" w:type="dxa"/>
          </w:tcPr>
          <w:p w14:paraId="64EFEA22"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2</w:t>
            </w:r>
            <w:r w:rsidR="00744948">
              <w:rPr>
                <w:rFonts w:eastAsia="Times New Roman"/>
                <w:b/>
                <w:bCs/>
                <w:snapToGrid w:val="0"/>
                <w:szCs w:val="20"/>
                <w:lang w:eastAsia="en-US"/>
              </w:rPr>
              <w:t>.</w:t>
            </w:r>
          </w:p>
        </w:tc>
        <w:tc>
          <w:tcPr>
            <w:tcW w:w="1842" w:type="dxa"/>
          </w:tcPr>
          <w:p w14:paraId="62F617DB" w14:textId="77777777" w:rsidR="00AA6543" w:rsidRPr="002177BB" w:rsidRDefault="00AA6543" w:rsidP="002177BB">
            <w:pPr>
              <w:rPr>
                <w:b/>
                <w:bCs/>
                <w:lang w:eastAsia="en-US"/>
              </w:rPr>
            </w:pPr>
            <w:r w:rsidRPr="002177BB">
              <w:rPr>
                <w:b/>
                <w:bCs/>
                <w:lang w:eastAsia="en-US"/>
              </w:rPr>
              <w:t>Succinct details of the final regulatory action(s)</w:t>
            </w:r>
          </w:p>
        </w:tc>
        <w:tc>
          <w:tcPr>
            <w:tcW w:w="7127" w:type="dxa"/>
          </w:tcPr>
          <w:p w14:paraId="15FE0FEB" w14:textId="77777777" w:rsidR="00AA6543" w:rsidRPr="00744948" w:rsidRDefault="00851634" w:rsidP="00744948">
            <w:pPr>
              <w:rPr>
                <w:rFonts w:eastAsia="Times New Roman"/>
                <w:szCs w:val="20"/>
                <w:lang w:eastAsia="en-US"/>
              </w:rPr>
            </w:pPr>
            <w:r w:rsidRPr="00744948">
              <w:rPr>
                <w:rFonts w:eastAsia="Times New Roman"/>
                <w:iCs/>
                <w:szCs w:val="20"/>
                <w:lang w:eastAsia="en-US"/>
              </w:rPr>
              <w:t>Based on Law 1658 of 15 July 2013, the government of Colombia prohibited the marketing and use of mercury. The regulation eradicates the use of mercury in the national territory in: 1) all industrial and production processes within a period not exceeding 10 years (till 15 July 2023), and 2) for mining within a maximum period of 5 years (till 15 July 2018). Currently the deadline for industrial uses other than mining has not been met; this is the reason why the use of mercury in the production of dental amalgam will continue until 15 July 2023</w:t>
            </w:r>
            <w:r w:rsidR="00F80F96" w:rsidRPr="00744948">
              <w:rPr>
                <w:rFonts w:eastAsia="Times New Roman"/>
                <w:iCs/>
                <w:szCs w:val="20"/>
                <w:lang w:eastAsia="en-US"/>
              </w:rPr>
              <w:t>.</w:t>
            </w:r>
          </w:p>
        </w:tc>
      </w:tr>
      <w:tr w:rsidR="00AA6543" w:rsidRPr="00744948" w14:paraId="611DDBD2" w14:textId="77777777" w:rsidTr="00B1179D">
        <w:tc>
          <w:tcPr>
            <w:tcW w:w="534" w:type="dxa"/>
          </w:tcPr>
          <w:p w14:paraId="1E096914"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3</w:t>
            </w:r>
            <w:r w:rsidR="00744948">
              <w:rPr>
                <w:rFonts w:eastAsia="Times New Roman"/>
                <w:b/>
                <w:bCs/>
                <w:snapToGrid w:val="0"/>
                <w:szCs w:val="20"/>
                <w:lang w:eastAsia="en-US"/>
              </w:rPr>
              <w:t>.</w:t>
            </w:r>
          </w:p>
        </w:tc>
        <w:tc>
          <w:tcPr>
            <w:tcW w:w="1842" w:type="dxa"/>
          </w:tcPr>
          <w:p w14:paraId="6A10D557" w14:textId="77777777" w:rsidR="00AA6543" w:rsidRPr="002177BB" w:rsidRDefault="00AA6543" w:rsidP="002177BB">
            <w:pPr>
              <w:rPr>
                <w:b/>
                <w:bCs/>
                <w:lang w:eastAsia="en-US"/>
              </w:rPr>
            </w:pPr>
            <w:r w:rsidRPr="002177BB">
              <w:rPr>
                <w:b/>
                <w:bCs/>
                <w:lang w:eastAsia="en-US"/>
              </w:rPr>
              <w:t>Reasons for action</w:t>
            </w:r>
          </w:p>
        </w:tc>
        <w:tc>
          <w:tcPr>
            <w:tcW w:w="7127" w:type="dxa"/>
          </w:tcPr>
          <w:p w14:paraId="22D569D6" w14:textId="77777777" w:rsidR="000C6E19" w:rsidRPr="00744948" w:rsidRDefault="000C6E19" w:rsidP="00744948">
            <w:pPr>
              <w:rPr>
                <w:rFonts w:eastAsia="Times New Roman"/>
                <w:szCs w:val="20"/>
                <w:lang w:eastAsia="en-US"/>
              </w:rPr>
            </w:pPr>
            <w:r w:rsidRPr="00744948">
              <w:rPr>
                <w:rFonts w:eastAsia="Times New Roman"/>
                <w:szCs w:val="20"/>
                <w:lang w:eastAsia="en-US"/>
              </w:rPr>
              <w:t>The government of Colombia prohibited the marketing and use of mercury under Law 1658 of 15 July 2013. It was determined that in order to protect and safeguard the human health and preserve renewable natural resources and the environment, the use, import, production, marketing, handling, transportation, storage, final disposal and release into the environment of mercury in industrial activities, whatever they may be, must be regulated throughout the national territory.</w:t>
            </w:r>
          </w:p>
          <w:p w14:paraId="7049FA8D" w14:textId="77777777" w:rsidR="000C6E19" w:rsidRPr="00744948" w:rsidRDefault="000C6E19" w:rsidP="00744948">
            <w:pPr>
              <w:rPr>
                <w:rFonts w:eastAsia="Times New Roman"/>
                <w:szCs w:val="20"/>
                <w:lang w:eastAsia="en-US"/>
              </w:rPr>
            </w:pPr>
            <w:r w:rsidRPr="00744948">
              <w:rPr>
                <w:rFonts w:eastAsia="Times New Roman"/>
                <w:szCs w:val="20"/>
                <w:lang w:eastAsia="en-US"/>
              </w:rPr>
              <w:t>Specifically, Article 3 of the law establishes the measures to reduce and eliminate the use of mercury in the country as follows: "Article 3. Reduction and elimination of the use of mercury. The Ministries of Environment and Sustainable Development; Mines and Energy; Health and Social Protection and Work, will establish the necessary regulatory measures that will allow to reduce and eliminate, in a safe and sustainable way, the use of mercury in the different industrial activities of the country. Eradicate the use of mercury throughout the national territory, in all industrial and productive processes within a period not exceeding ten (10) years and for mining within a maximum period of five (5) years.</w:t>
            </w:r>
          </w:p>
        </w:tc>
      </w:tr>
      <w:tr w:rsidR="00AA6543" w:rsidRPr="00744948" w14:paraId="2AEFE474" w14:textId="77777777" w:rsidTr="00B1179D">
        <w:tc>
          <w:tcPr>
            <w:tcW w:w="534" w:type="dxa"/>
          </w:tcPr>
          <w:p w14:paraId="5186F702"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4</w:t>
            </w:r>
            <w:r w:rsidR="00744948">
              <w:rPr>
                <w:rFonts w:eastAsia="Times New Roman"/>
                <w:b/>
                <w:bCs/>
                <w:snapToGrid w:val="0"/>
                <w:szCs w:val="20"/>
                <w:lang w:eastAsia="en-US"/>
              </w:rPr>
              <w:t>.</w:t>
            </w:r>
          </w:p>
        </w:tc>
        <w:tc>
          <w:tcPr>
            <w:tcW w:w="1842" w:type="dxa"/>
          </w:tcPr>
          <w:p w14:paraId="41BEDAE6" w14:textId="77777777" w:rsidR="00AA6543" w:rsidRPr="002177BB" w:rsidRDefault="00AA6543" w:rsidP="002177BB">
            <w:pPr>
              <w:rPr>
                <w:b/>
                <w:bCs/>
                <w:lang w:eastAsia="en-US"/>
              </w:rPr>
            </w:pPr>
            <w:r w:rsidRPr="002177BB">
              <w:rPr>
                <w:b/>
                <w:bCs/>
                <w:lang w:eastAsia="en-US"/>
              </w:rPr>
              <w:t xml:space="preserve">Basis for inclusion into Annex </w:t>
            </w:r>
            <w:smartTag w:uri="urn:schemas-microsoft-com:office:smarttags" w:element="stockticker">
              <w:r w:rsidRPr="002177BB">
                <w:rPr>
                  <w:b/>
                  <w:bCs/>
                  <w:lang w:eastAsia="en-US"/>
                </w:rPr>
                <w:t>III</w:t>
              </w:r>
            </w:smartTag>
          </w:p>
        </w:tc>
        <w:tc>
          <w:tcPr>
            <w:tcW w:w="7127" w:type="dxa"/>
          </w:tcPr>
          <w:p w14:paraId="51E074DB" w14:textId="77777777" w:rsidR="000C6E19" w:rsidRPr="00744948" w:rsidRDefault="00851634" w:rsidP="00744948">
            <w:pPr>
              <w:rPr>
                <w:rFonts w:eastAsia="Times New Roman"/>
                <w:szCs w:val="20"/>
                <w:lang w:eastAsia="en-US"/>
              </w:rPr>
            </w:pPr>
            <w:r w:rsidRPr="00744948">
              <w:rPr>
                <w:rFonts w:eastAsia="Times New Roman"/>
                <w:szCs w:val="20"/>
                <w:lang w:eastAsia="en-US"/>
              </w:rPr>
              <w:t>The final regulatory action was taken to protect human health and the environment. The regulatory action was based on a risk evaluation taking into account the prevailing conditions in Colombia.</w:t>
            </w:r>
          </w:p>
        </w:tc>
      </w:tr>
      <w:tr w:rsidR="00AA6543" w:rsidRPr="00744948" w14:paraId="703D5B5D" w14:textId="77777777" w:rsidTr="00B1179D">
        <w:tc>
          <w:tcPr>
            <w:tcW w:w="534" w:type="dxa"/>
          </w:tcPr>
          <w:p w14:paraId="501C0963"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4.1</w:t>
            </w:r>
          </w:p>
        </w:tc>
        <w:tc>
          <w:tcPr>
            <w:tcW w:w="1842" w:type="dxa"/>
          </w:tcPr>
          <w:p w14:paraId="5EA0ED3C" w14:textId="77777777" w:rsidR="00AA6543" w:rsidRPr="002177BB" w:rsidRDefault="00AA6543" w:rsidP="002177BB">
            <w:pPr>
              <w:rPr>
                <w:b/>
                <w:bCs/>
                <w:lang w:eastAsia="en-US"/>
              </w:rPr>
            </w:pPr>
            <w:r w:rsidRPr="002177BB">
              <w:rPr>
                <w:b/>
                <w:bCs/>
                <w:lang w:eastAsia="en-US"/>
              </w:rPr>
              <w:t>Risk evaluation</w:t>
            </w:r>
          </w:p>
        </w:tc>
        <w:tc>
          <w:tcPr>
            <w:tcW w:w="7127" w:type="dxa"/>
          </w:tcPr>
          <w:p w14:paraId="5EBA0191" w14:textId="77777777" w:rsidR="00F80F96" w:rsidRPr="00744948" w:rsidRDefault="00F80F96" w:rsidP="009C513D">
            <w:pPr>
              <w:rPr>
                <w:rFonts w:eastAsia="Times New Roman"/>
                <w:lang w:eastAsia="en-US"/>
              </w:rPr>
            </w:pPr>
            <w:r w:rsidRPr="00744948">
              <w:t>According to the evaluation related to human health and the environment, the following information was identified (UNEP/FAO/RC/CRC.19/11 and</w:t>
            </w:r>
            <w:r w:rsidR="00D9781B">
              <w:t xml:space="preserve"> </w:t>
            </w:r>
            <w:r w:rsidRPr="00744948">
              <w:t>UNEP/FAO/RC/CRC.19/INF/24):</w:t>
            </w:r>
          </w:p>
          <w:p w14:paraId="20DB11A9" w14:textId="77777777" w:rsidR="00F80F96" w:rsidRPr="00744948" w:rsidRDefault="00F80F96" w:rsidP="00756090">
            <w:pPr>
              <w:numPr>
                <w:ilvl w:val="0"/>
                <w:numId w:val="41"/>
              </w:numPr>
              <w:rPr>
                <w:lang w:eastAsia="en-US"/>
              </w:rPr>
            </w:pPr>
            <w:r w:rsidRPr="00744948">
              <w:rPr>
                <w:lang w:eastAsia="en-US"/>
              </w:rPr>
              <w:t>The data includes extensive neuro-epidemiological studies in exposed populations (occupational and general population) and studies in different environmental compartments (freshwater, soil, sediment, biota, etc.), food (fish), with a view of establishing the levels of mercury and the perception of risk, and generating scientific, regulatory and technical evidence on the mercury problem both at the national and international level of the health sector and other related sector. Mercury measurements have been made in humans, mainly in workers and communities surrounding mining activities or adjacent to riverine areas.</w:t>
            </w:r>
          </w:p>
          <w:p w14:paraId="0F414F26" w14:textId="77777777" w:rsidR="00F80F96" w:rsidRPr="00744948" w:rsidRDefault="00F80F96" w:rsidP="00756090">
            <w:pPr>
              <w:numPr>
                <w:ilvl w:val="0"/>
                <w:numId w:val="41"/>
              </w:numPr>
              <w:rPr>
                <w:lang w:eastAsia="en-US"/>
              </w:rPr>
            </w:pPr>
            <w:r w:rsidRPr="00744948">
              <w:rPr>
                <w:lang w:eastAsia="en-US"/>
              </w:rPr>
              <w:t xml:space="preserve">The evaluation conducted establish that mercury is a toxic substance, that when entering the human body produces disorders, mainly at the central nervous system level. The presence of mercury in the air, water, soil and food (mainly fish) in concentrations above the allowed limit has caused a serious public health problem in Colombia. Regions such as the Northeast of Antioquia, the South of Bolívar, Chocó, Santander, Nariño, Caldas, Vaupés, among others, carry out artisanal gold mining and for the final extraction of this precious metal, mercury is used. Its use occurs in an indiscriminate and poorly controlled way, a situation that has caused environmental </w:t>
            </w:r>
            <w:r w:rsidRPr="00744948">
              <w:rPr>
                <w:lang w:eastAsia="en-US"/>
              </w:rPr>
              <w:lastRenderedPageBreak/>
              <w:t xml:space="preserve">contamination and has affected people's health. Exposure to mercury is also increased in industrial areas that use this substance. </w:t>
            </w:r>
          </w:p>
          <w:p w14:paraId="5786149C" w14:textId="77777777" w:rsidR="00E649AB" w:rsidRPr="00744948" w:rsidRDefault="00F80F96" w:rsidP="00756090">
            <w:pPr>
              <w:numPr>
                <w:ilvl w:val="0"/>
                <w:numId w:val="41"/>
              </w:numPr>
              <w:rPr>
                <w:lang w:eastAsia="en-US"/>
              </w:rPr>
            </w:pPr>
            <w:r w:rsidRPr="00744948">
              <w:rPr>
                <w:lang w:eastAsia="en-US"/>
              </w:rPr>
              <w:t xml:space="preserve">Studies conducted by the Government of Antioquia in the municipalities of Segovia and Remedios, in the Northeast of the department, found a concentration of mercury of approximately 340 </w:t>
            </w:r>
            <w:proofErr w:type="spellStart"/>
            <w:r w:rsidRPr="00744948">
              <w:rPr>
                <w:lang w:eastAsia="en-US"/>
              </w:rPr>
              <w:t>μg</w:t>
            </w:r>
            <w:proofErr w:type="spellEnd"/>
            <w:r w:rsidRPr="00744948">
              <w:rPr>
                <w:lang w:eastAsia="en-US"/>
              </w:rPr>
              <w:t xml:space="preserve">/m³ in the air (300 times higher than the guideline of the World Health Organization for public maximum exposure to </w:t>
            </w:r>
            <w:r w:rsidR="00D609EE">
              <w:rPr>
                <w:lang w:eastAsia="en-US"/>
              </w:rPr>
              <w:t>vapour</w:t>
            </w:r>
            <w:r w:rsidRPr="00744948">
              <w:rPr>
                <w:lang w:eastAsia="en-US"/>
              </w:rPr>
              <w:t xml:space="preserve"> of mercury). </w:t>
            </w:r>
          </w:p>
          <w:p w14:paraId="4DD17A2A" w14:textId="77777777" w:rsidR="00F80F96" w:rsidRPr="00744948" w:rsidRDefault="00F80F96" w:rsidP="00756090">
            <w:pPr>
              <w:numPr>
                <w:ilvl w:val="0"/>
                <w:numId w:val="41"/>
              </w:numPr>
              <w:rPr>
                <w:lang w:eastAsia="en-US"/>
              </w:rPr>
            </w:pPr>
            <w:r w:rsidRPr="00744948">
              <w:rPr>
                <w:lang w:eastAsia="en-US"/>
              </w:rPr>
              <w:t xml:space="preserve">Approximately 26 to 6,118 ppm of Hg is discharged into rivers by miners in the region. Additionally, the main food of these communities is fish, which has been shown to be affected by the emission of mercury. Studies completed by </w:t>
            </w:r>
            <w:proofErr w:type="spellStart"/>
            <w:r w:rsidRPr="00744948">
              <w:rPr>
                <w:lang w:eastAsia="en-US"/>
              </w:rPr>
              <w:t>Corantioquia</w:t>
            </w:r>
            <w:proofErr w:type="spellEnd"/>
            <w:r w:rsidRPr="00744948">
              <w:rPr>
                <w:lang w:eastAsia="en-US"/>
              </w:rPr>
              <w:t xml:space="preserve">, the University of Antioquia, and the University of Cartagena have revealed a concentration above 1.06 </w:t>
            </w:r>
            <w:proofErr w:type="spellStart"/>
            <w:r w:rsidRPr="00744948">
              <w:rPr>
                <w:lang w:eastAsia="en-US"/>
              </w:rPr>
              <w:t>μg</w:t>
            </w:r>
            <w:proofErr w:type="spellEnd"/>
            <w:r w:rsidRPr="00744948">
              <w:rPr>
                <w:lang w:eastAsia="en-US"/>
              </w:rPr>
              <w:t xml:space="preserve"> Hg/g in most of the species found in the rivers of the surrounding area.</w:t>
            </w:r>
          </w:p>
          <w:p w14:paraId="784880C2" w14:textId="77777777" w:rsidR="00F80F96" w:rsidRPr="00744948" w:rsidRDefault="0070111E" w:rsidP="00756090">
            <w:pPr>
              <w:numPr>
                <w:ilvl w:val="0"/>
                <w:numId w:val="41"/>
              </w:numPr>
              <w:rPr>
                <w:lang w:eastAsia="en-US"/>
              </w:rPr>
            </w:pPr>
            <w:r w:rsidRPr="00744948">
              <w:rPr>
                <w:lang w:eastAsia="en-US"/>
              </w:rPr>
              <w:t xml:space="preserve">Mercury contamination in Colombia </w:t>
            </w:r>
            <w:r>
              <w:rPr>
                <w:lang w:eastAsia="en-US"/>
              </w:rPr>
              <w:t>is mostly caused by its use in the extraction of gold from ore</w:t>
            </w:r>
            <w:r w:rsidRPr="00744948">
              <w:rPr>
                <w:lang w:eastAsia="en-US"/>
              </w:rPr>
              <w:t>.</w:t>
            </w:r>
            <w:r>
              <w:rPr>
                <w:lang w:eastAsia="en-US"/>
              </w:rPr>
              <w:t xml:space="preserve"> </w:t>
            </w:r>
            <w:bookmarkStart w:id="26" w:name="_Hlk156557925"/>
            <w:r>
              <w:rPr>
                <w:lang w:eastAsia="en-US"/>
              </w:rPr>
              <w:t>In this process, elemental mercury is added to gold containing ores and minerals to form a gold amalgam.</w:t>
            </w:r>
            <w:bookmarkEnd w:id="26"/>
            <w:r>
              <w:rPr>
                <w:lang w:eastAsia="en-US"/>
              </w:rPr>
              <w:t xml:space="preserve"> M</w:t>
            </w:r>
            <w:r w:rsidRPr="00744948">
              <w:rPr>
                <w:lang w:eastAsia="en-US"/>
              </w:rPr>
              <w:t>ercury</w:t>
            </w:r>
            <w:r>
              <w:rPr>
                <w:lang w:eastAsia="en-US"/>
              </w:rPr>
              <w:t xml:space="preserve"> used this way may</w:t>
            </w:r>
            <w:r w:rsidRPr="00744948">
              <w:rPr>
                <w:lang w:eastAsia="en-US"/>
              </w:rPr>
              <w:t xml:space="preserve"> spill into water bodies and the environment. Subsequently, the </w:t>
            </w:r>
            <w:r>
              <w:rPr>
                <w:lang w:eastAsia="en-US"/>
              </w:rPr>
              <w:t xml:space="preserve">gold </w:t>
            </w:r>
            <w:r w:rsidRPr="00744948">
              <w:rPr>
                <w:lang w:eastAsia="en-US"/>
              </w:rPr>
              <w:t xml:space="preserve">amalgam </w:t>
            </w:r>
            <w:r>
              <w:rPr>
                <w:lang w:eastAsia="en-US"/>
              </w:rPr>
              <w:t xml:space="preserve">is recovered and </w:t>
            </w:r>
            <w:r w:rsidRPr="00744948">
              <w:rPr>
                <w:lang w:eastAsia="en-US"/>
              </w:rPr>
              <w:t>burned in the open air</w:t>
            </w:r>
            <w:r>
              <w:rPr>
                <w:lang w:eastAsia="en-US"/>
              </w:rPr>
              <w:t xml:space="preserve"> to extract</w:t>
            </w:r>
            <w:r w:rsidRPr="00744948">
              <w:rPr>
                <w:lang w:eastAsia="en-US"/>
              </w:rPr>
              <w:t xml:space="preserve"> the gold</w:t>
            </w:r>
            <w:r>
              <w:rPr>
                <w:lang w:eastAsia="en-US"/>
              </w:rPr>
              <w:t>, which release</w:t>
            </w:r>
            <w:r w:rsidRPr="00744948">
              <w:rPr>
                <w:lang w:eastAsia="en-US"/>
              </w:rPr>
              <w:t xml:space="preserve"> </w:t>
            </w:r>
            <w:r w:rsidR="00F80F96" w:rsidRPr="00744948">
              <w:rPr>
                <w:lang w:eastAsia="en-US"/>
              </w:rPr>
              <w:t xml:space="preserve">toxic mercury </w:t>
            </w:r>
            <w:r w:rsidR="00D609EE">
              <w:rPr>
                <w:lang w:eastAsia="en-US"/>
              </w:rPr>
              <w:t>vapour</w:t>
            </w:r>
            <w:r w:rsidR="00F80F96" w:rsidRPr="00744948">
              <w:rPr>
                <w:lang w:eastAsia="en-US"/>
              </w:rPr>
              <w:t>s into the atmosphere. All these activities are performed very close to the miners' households, in such a way that families breathe a large part of the volatilized mercury vapour. Even remote populations can be affected by the mobilization of this substance (Protocol for Surveillance and Control of Acute Mercury Poisoning</w:t>
            </w:r>
            <w:r>
              <w:rPr>
                <w:lang w:eastAsia="en-US"/>
              </w:rPr>
              <w:t>.</w:t>
            </w:r>
            <w:r w:rsidRPr="00300B02">
              <w:rPr>
                <w:lang w:eastAsia="en-US"/>
              </w:rPr>
              <w:t xml:space="preserve"> INF/30, Annex III)</w:t>
            </w:r>
            <w:r w:rsidR="00F80F96" w:rsidRPr="00744948">
              <w:rPr>
                <w:lang w:eastAsia="en-US"/>
              </w:rPr>
              <w:t>.</w:t>
            </w:r>
          </w:p>
          <w:p w14:paraId="10809B13" w14:textId="77777777" w:rsidR="00F80F96" w:rsidRPr="00744948" w:rsidRDefault="0070111E" w:rsidP="00756090">
            <w:pPr>
              <w:numPr>
                <w:ilvl w:val="0"/>
                <w:numId w:val="41"/>
              </w:numPr>
              <w:rPr>
                <w:lang w:eastAsia="en-US"/>
              </w:rPr>
            </w:pPr>
            <w:r w:rsidRPr="00127E4C">
              <w:rPr>
                <w:lang w:eastAsia="en-US"/>
              </w:rPr>
              <w:t xml:space="preserve">Studies on populations with known exposures to mercury, including occupational and general population exposures, show a link between exposure and adverse health effects </w:t>
            </w:r>
            <w:r w:rsidR="00F80F96" w:rsidRPr="00744948">
              <w:rPr>
                <w:lang w:eastAsia="en-US"/>
              </w:rPr>
              <w:t xml:space="preserve">(Fawer et al 1983, </w:t>
            </w:r>
            <w:proofErr w:type="spellStart"/>
            <w:r w:rsidR="00F80F96" w:rsidRPr="00744948">
              <w:rPr>
                <w:lang w:eastAsia="en-US"/>
              </w:rPr>
              <w:t>Piikivi</w:t>
            </w:r>
            <w:proofErr w:type="spellEnd"/>
            <w:r w:rsidR="00F80F96" w:rsidRPr="00744948">
              <w:rPr>
                <w:lang w:eastAsia="en-US"/>
              </w:rPr>
              <w:t xml:space="preserve"> 1989, Marh et al 1987). The </w:t>
            </w:r>
            <w:proofErr w:type="spellStart"/>
            <w:r w:rsidR="00F80F96" w:rsidRPr="00744948">
              <w:rPr>
                <w:lang w:eastAsia="en-US"/>
              </w:rPr>
              <w:t>neuroepidemiological</w:t>
            </w:r>
            <w:proofErr w:type="spellEnd"/>
            <w:r w:rsidR="00F80F96" w:rsidRPr="00744948">
              <w:rPr>
                <w:lang w:eastAsia="en-US"/>
              </w:rPr>
              <w:t xml:space="preserve"> and toxicological study of the </w:t>
            </w:r>
            <w:proofErr w:type="spellStart"/>
            <w:r w:rsidR="00F80F96" w:rsidRPr="00744948">
              <w:rPr>
                <w:lang w:eastAsia="en-US"/>
              </w:rPr>
              <w:t>Suratá</w:t>
            </w:r>
            <w:proofErr w:type="spellEnd"/>
            <w:r w:rsidR="00F80F96" w:rsidRPr="00744948">
              <w:rPr>
                <w:lang w:eastAsia="en-US"/>
              </w:rPr>
              <w:t xml:space="preserve"> river pollutants carried out in the mining population of that region (Santander, 1992) raised the possible relationship of chronic exposure to mercury with the presence of neurological diseases. Tirado et al (2000) suggest that this form of exposure can cause neuropsychological and </w:t>
            </w:r>
            <w:r w:rsidR="00D609EE">
              <w:rPr>
                <w:lang w:eastAsia="en-US"/>
              </w:rPr>
              <w:t xml:space="preserve"> behavioural</w:t>
            </w:r>
            <w:r w:rsidR="00F80F96" w:rsidRPr="00744948">
              <w:rPr>
                <w:lang w:eastAsia="en-US"/>
              </w:rPr>
              <w:t xml:space="preserve"> deficits in the population. In 1995, Olivero et al reported that the inhabitants of southern Bolívar presented signs of mercury intoxication such as hand tremors, neurological disorders and visual problems, among others. In this region, frequent cases of congenital malformations have also been reported, although without evidence of association with mercury exposure.</w:t>
            </w:r>
          </w:p>
          <w:p w14:paraId="30C9E079" w14:textId="77777777" w:rsidR="00F80F96" w:rsidRPr="00744948" w:rsidRDefault="00F80F96" w:rsidP="00756090">
            <w:pPr>
              <w:numPr>
                <w:ilvl w:val="0"/>
                <w:numId w:val="41"/>
              </w:numPr>
              <w:rPr>
                <w:lang w:eastAsia="en-US"/>
              </w:rPr>
            </w:pPr>
            <w:r w:rsidRPr="00744948">
              <w:rPr>
                <w:lang w:eastAsia="en-US"/>
              </w:rPr>
              <w:t xml:space="preserve">According to National Public Health Surveillance System - SIVIGILA, during 2010 and in the first half of 2011, 201 cases of mercury poisoning were reported in Colombia- 96% of the cases were of occupational or accidental </w:t>
            </w:r>
            <w:r w:rsidR="0070111E">
              <w:rPr>
                <w:lang w:eastAsia="en-US"/>
              </w:rPr>
              <w:t>causes</w:t>
            </w:r>
            <w:r w:rsidRPr="00744948">
              <w:rPr>
                <w:lang w:eastAsia="en-US"/>
              </w:rPr>
              <w:t xml:space="preserve"> as follows: 85% (n = 171) occupational, 11% (n = 22) accidental.</w:t>
            </w:r>
          </w:p>
          <w:p w14:paraId="4BB5611E" w14:textId="77777777" w:rsidR="00F80F96" w:rsidRPr="00744948" w:rsidRDefault="0070111E" w:rsidP="00756090">
            <w:pPr>
              <w:numPr>
                <w:ilvl w:val="0"/>
                <w:numId w:val="41"/>
              </w:numPr>
              <w:rPr>
                <w:lang w:eastAsia="en-US"/>
              </w:rPr>
            </w:pPr>
            <w:r w:rsidRPr="00127E4C">
              <w:rPr>
                <w:lang w:eastAsia="en-US"/>
              </w:rPr>
              <w:t>Occupational exposure is the most reported cause of mercury poisoning in Colombia. Mining and quarrying occupations have the highest number of cases due to the use of mercury in gold mining. The most frequent notifiers of poisoning cases during the review period were Antioquia, followed by Bogotá, Bolívar, Risaralda, Santander and Valle del Cauca. The highest percentage of intoxications reported were occupational, predominately miners or stonemasons, with inhalation being the most frequent route of exposure</w:t>
            </w:r>
            <w:r w:rsidRPr="00127E4C" w:rsidDel="00127E4C">
              <w:rPr>
                <w:lang w:eastAsia="en-US"/>
              </w:rPr>
              <w:t xml:space="preserve"> </w:t>
            </w:r>
            <w:r w:rsidRPr="00127E4C">
              <w:rPr>
                <w:lang w:eastAsia="en-US"/>
              </w:rPr>
              <w:t>(Scientific, Regulatory and Technical Evidence on the Mercury Problem at the Level National and International Health Sector and Other Related Sectors. Revision Systematics of Literature, INF/30, Annex IV)</w:t>
            </w:r>
            <w:r w:rsidR="00F80F96" w:rsidRPr="00744948">
              <w:rPr>
                <w:lang w:eastAsia="en-US"/>
              </w:rPr>
              <w:t xml:space="preserve">. </w:t>
            </w:r>
          </w:p>
          <w:p w14:paraId="085B899A" w14:textId="77777777" w:rsidR="00F80F96" w:rsidRPr="00744948" w:rsidRDefault="0070111E" w:rsidP="00756090">
            <w:pPr>
              <w:numPr>
                <w:ilvl w:val="0"/>
                <w:numId w:val="41"/>
              </w:numPr>
              <w:rPr>
                <w:lang w:eastAsia="en-US"/>
              </w:rPr>
            </w:pPr>
            <w:r>
              <w:rPr>
                <w:lang w:eastAsia="en-US"/>
              </w:rPr>
              <w:t>S</w:t>
            </w:r>
            <w:r w:rsidR="00F80F96" w:rsidRPr="00744948">
              <w:rPr>
                <w:lang w:eastAsia="en-US"/>
              </w:rPr>
              <w:t xml:space="preserve">ome population groups </w:t>
            </w:r>
            <w:r>
              <w:rPr>
                <w:lang w:eastAsia="en-US"/>
              </w:rPr>
              <w:t>may need</w:t>
            </w:r>
            <w:r w:rsidR="00F80F96" w:rsidRPr="00744948">
              <w:rPr>
                <w:lang w:eastAsia="en-US"/>
              </w:rPr>
              <w:t xml:space="preserve"> special </w:t>
            </w:r>
            <w:r w:rsidR="00C5699E">
              <w:rPr>
                <w:lang w:eastAsia="en-US"/>
              </w:rPr>
              <w:t>consideration</w:t>
            </w:r>
            <w:r w:rsidR="00F80F96" w:rsidRPr="00744948">
              <w:rPr>
                <w:lang w:eastAsia="en-US"/>
              </w:rPr>
              <w:t xml:space="preserve"> in relation to exposure to mercury, since they have a greater probability of exposure to dangerous levels, or because carriers of disease, the intoxication effects can be exacerbated:</w:t>
            </w:r>
          </w:p>
          <w:p w14:paraId="3ABA9A49" w14:textId="77777777" w:rsidR="00F80F96" w:rsidRPr="00744948" w:rsidRDefault="00F80F96" w:rsidP="00756090">
            <w:pPr>
              <w:numPr>
                <w:ilvl w:val="0"/>
                <w:numId w:val="42"/>
              </w:numPr>
              <w:ind w:hanging="215"/>
              <w:rPr>
                <w:lang w:eastAsia="en-US"/>
              </w:rPr>
            </w:pPr>
            <w:r w:rsidRPr="00744948">
              <w:rPr>
                <w:lang w:eastAsia="en-US"/>
              </w:rPr>
              <w:t xml:space="preserve">Workers exposed to mercury; </w:t>
            </w:r>
          </w:p>
          <w:p w14:paraId="23BDA4FC" w14:textId="77777777" w:rsidR="00F80F96" w:rsidRPr="00744948" w:rsidRDefault="00F80F96" w:rsidP="00756090">
            <w:pPr>
              <w:numPr>
                <w:ilvl w:val="0"/>
                <w:numId w:val="42"/>
              </w:numPr>
              <w:ind w:hanging="215"/>
              <w:rPr>
                <w:lang w:eastAsia="en-US"/>
              </w:rPr>
            </w:pPr>
            <w:r w:rsidRPr="00744948">
              <w:rPr>
                <w:lang w:eastAsia="en-US"/>
              </w:rPr>
              <w:t xml:space="preserve">General population next to sources of mercury contamination </w:t>
            </w:r>
            <w:r w:rsidRPr="00744948">
              <w:rPr>
                <w:lang w:eastAsia="en-US"/>
              </w:rPr>
              <w:lastRenderedPageBreak/>
              <w:t xml:space="preserve">(mines, industries); </w:t>
            </w:r>
          </w:p>
          <w:p w14:paraId="3D6F0F72" w14:textId="77777777" w:rsidR="00F80F96" w:rsidRPr="00744948" w:rsidRDefault="00F80F96" w:rsidP="00756090">
            <w:pPr>
              <w:numPr>
                <w:ilvl w:val="0"/>
                <w:numId w:val="42"/>
              </w:numPr>
              <w:ind w:hanging="215"/>
              <w:rPr>
                <w:lang w:eastAsia="en-US"/>
              </w:rPr>
            </w:pPr>
            <w:r w:rsidRPr="00744948">
              <w:rPr>
                <w:lang w:eastAsia="en-US"/>
              </w:rPr>
              <w:t xml:space="preserve">Populations in areas contaminated by mercury, especially indigenous and riverine, whose main source of proteins is fish; </w:t>
            </w:r>
          </w:p>
          <w:p w14:paraId="68B04F38" w14:textId="77777777" w:rsidR="00F80F96" w:rsidRPr="00744948" w:rsidRDefault="00F80F96" w:rsidP="00756090">
            <w:pPr>
              <w:numPr>
                <w:ilvl w:val="0"/>
                <w:numId w:val="42"/>
              </w:numPr>
              <w:ind w:hanging="215"/>
              <w:rPr>
                <w:lang w:eastAsia="en-US"/>
              </w:rPr>
            </w:pPr>
            <w:r w:rsidRPr="00744948">
              <w:rPr>
                <w:lang w:eastAsia="en-US"/>
              </w:rPr>
              <w:t xml:space="preserve">People using mercury-containing medications for a long time; </w:t>
            </w:r>
          </w:p>
          <w:p w14:paraId="4EDC0A22" w14:textId="77777777" w:rsidR="00F80F96" w:rsidRPr="00744948" w:rsidRDefault="00F80F96" w:rsidP="00756090">
            <w:pPr>
              <w:numPr>
                <w:ilvl w:val="0"/>
                <w:numId w:val="42"/>
              </w:numPr>
              <w:ind w:hanging="215"/>
              <w:rPr>
                <w:lang w:eastAsia="en-US"/>
              </w:rPr>
            </w:pPr>
            <w:r w:rsidRPr="00744948">
              <w:rPr>
                <w:lang w:eastAsia="en-US"/>
              </w:rPr>
              <w:t xml:space="preserve">People with central nervous system diseases, patients with chronic kidney and bronco pulmonary failure; </w:t>
            </w:r>
          </w:p>
          <w:p w14:paraId="6A7D9EAE" w14:textId="77777777" w:rsidR="000C6E19" w:rsidRPr="00744948" w:rsidRDefault="00F80F96" w:rsidP="00756090">
            <w:pPr>
              <w:numPr>
                <w:ilvl w:val="0"/>
                <w:numId w:val="42"/>
              </w:numPr>
              <w:ind w:hanging="215"/>
              <w:rPr>
                <w:i/>
                <w:iCs/>
                <w:lang w:eastAsia="en-US"/>
              </w:rPr>
            </w:pPr>
            <w:r w:rsidRPr="00744948">
              <w:rPr>
                <w:lang w:eastAsia="en-US"/>
              </w:rPr>
              <w:t>Pregnant women and toddlers</w:t>
            </w:r>
            <w:r w:rsidRPr="00744948">
              <w:rPr>
                <w:i/>
                <w:iCs/>
                <w:lang w:eastAsia="en-US"/>
              </w:rPr>
              <w:t xml:space="preserve">. </w:t>
            </w:r>
          </w:p>
        </w:tc>
      </w:tr>
      <w:tr w:rsidR="00AA6543" w:rsidRPr="00744948" w14:paraId="5CF60308" w14:textId="77777777" w:rsidTr="00B1179D">
        <w:tc>
          <w:tcPr>
            <w:tcW w:w="534" w:type="dxa"/>
          </w:tcPr>
          <w:p w14:paraId="7CE6FD09" w14:textId="77777777" w:rsidR="00AA6543" w:rsidRPr="00744948" w:rsidRDefault="00AA6543" w:rsidP="00744948">
            <w:pPr>
              <w:rPr>
                <w:rFonts w:eastAsia="Times New Roman"/>
                <w:b/>
                <w:bCs/>
                <w:snapToGrid w:val="0"/>
                <w:szCs w:val="20"/>
                <w:lang w:eastAsia="en-US"/>
              </w:rPr>
            </w:pPr>
            <w:r w:rsidRPr="00744948">
              <w:rPr>
                <w:rFonts w:eastAsia="Times New Roman"/>
                <w:b/>
                <w:bCs/>
                <w:snapToGrid w:val="0"/>
                <w:szCs w:val="20"/>
                <w:lang w:eastAsia="en-US"/>
              </w:rPr>
              <w:lastRenderedPageBreak/>
              <w:t>4.2</w:t>
            </w:r>
          </w:p>
        </w:tc>
        <w:tc>
          <w:tcPr>
            <w:tcW w:w="1842" w:type="dxa"/>
          </w:tcPr>
          <w:p w14:paraId="44864505" w14:textId="77777777" w:rsidR="00AA6543" w:rsidRPr="00744948" w:rsidRDefault="00AA6543" w:rsidP="00744948">
            <w:pPr>
              <w:rPr>
                <w:rFonts w:eastAsia="Times New Roman"/>
                <w:b/>
                <w:szCs w:val="20"/>
                <w:lang w:eastAsia="en-US"/>
              </w:rPr>
            </w:pPr>
            <w:r w:rsidRPr="00744948">
              <w:rPr>
                <w:rFonts w:eastAsia="Times New Roman"/>
                <w:b/>
                <w:szCs w:val="20"/>
                <w:lang w:eastAsia="en-US"/>
              </w:rPr>
              <w:t>Criteria used</w:t>
            </w:r>
          </w:p>
        </w:tc>
        <w:tc>
          <w:tcPr>
            <w:tcW w:w="7127" w:type="dxa"/>
          </w:tcPr>
          <w:p w14:paraId="6E12A94E" w14:textId="77777777" w:rsidR="00F80F96" w:rsidRPr="00744948" w:rsidRDefault="00851634" w:rsidP="00744948">
            <w:pPr>
              <w:rPr>
                <w:rFonts w:eastAsia="Times New Roman"/>
                <w:iCs/>
                <w:szCs w:val="20"/>
                <w:lang w:eastAsia="en-US"/>
              </w:rPr>
            </w:pPr>
            <w:r w:rsidRPr="00744948">
              <w:rPr>
                <w:rFonts w:eastAsia="Times New Roman"/>
                <w:iCs/>
                <w:szCs w:val="20"/>
                <w:lang w:eastAsia="en-US"/>
              </w:rPr>
              <w:t>Risks to human health and the environment</w:t>
            </w:r>
            <w:r w:rsidR="00F80F96" w:rsidRPr="00744948">
              <w:rPr>
                <w:rFonts w:eastAsia="Times New Roman"/>
                <w:iCs/>
                <w:szCs w:val="20"/>
                <w:lang w:eastAsia="en-US"/>
              </w:rPr>
              <w:t>.</w:t>
            </w:r>
          </w:p>
        </w:tc>
      </w:tr>
      <w:tr w:rsidR="00AA6543" w:rsidRPr="00744948" w14:paraId="08F69E39" w14:textId="77777777" w:rsidTr="00B1179D">
        <w:tc>
          <w:tcPr>
            <w:tcW w:w="534" w:type="dxa"/>
          </w:tcPr>
          <w:p w14:paraId="64DF20BF" w14:textId="77777777" w:rsidR="00AA6543" w:rsidRPr="00744948" w:rsidRDefault="00AA6543" w:rsidP="00744948">
            <w:pPr>
              <w:widowControl w:val="0"/>
              <w:rPr>
                <w:rFonts w:eastAsia="Times New Roman"/>
                <w:b/>
                <w:bCs/>
                <w:snapToGrid w:val="0"/>
                <w:szCs w:val="20"/>
                <w:lang w:eastAsia="en-US"/>
              </w:rPr>
            </w:pPr>
          </w:p>
        </w:tc>
        <w:tc>
          <w:tcPr>
            <w:tcW w:w="1842" w:type="dxa"/>
          </w:tcPr>
          <w:p w14:paraId="5EF82D3B" w14:textId="77777777" w:rsidR="00AA6543" w:rsidRPr="00744948" w:rsidRDefault="00AA6543" w:rsidP="00744948">
            <w:pPr>
              <w:rPr>
                <w:rFonts w:eastAsia="Times New Roman"/>
                <w:b/>
                <w:szCs w:val="20"/>
                <w:lang w:eastAsia="en-US"/>
              </w:rPr>
            </w:pPr>
            <w:r w:rsidRPr="00744948">
              <w:rPr>
                <w:rFonts w:eastAsia="Times New Roman"/>
                <w:b/>
                <w:szCs w:val="20"/>
                <w:lang w:eastAsia="en-US"/>
              </w:rPr>
              <w:t>Relevance to other States and Region</w:t>
            </w:r>
          </w:p>
        </w:tc>
        <w:tc>
          <w:tcPr>
            <w:tcW w:w="7127" w:type="dxa"/>
          </w:tcPr>
          <w:p w14:paraId="71EC1536" w14:textId="77777777" w:rsidR="000C6E19" w:rsidRPr="00744948" w:rsidRDefault="00F80F96" w:rsidP="00744948">
            <w:pPr>
              <w:rPr>
                <w:rFonts w:eastAsia="Times New Roman"/>
                <w:szCs w:val="20"/>
                <w:lang w:eastAsia="en-US"/>
              </w:rPr>
            </w:pPr>
            <w:r w:rsidRPr="00744948">
              <w:rPr>
                <w:rFonts w:eastAsia="Times New Roman"/>
                <w:szCs w:val="20"/>
                <w:lang w:eastAsia="en-US"/>
              </w:rPr>
              <w:t>The notification states that mercury can be used in other countries for the manufacture of products with added mercury and in gold extraction, mainly in</w:t>
            </w:r>
            <w:r w:rsidR="00F16A88">
              <w:rPr>
                <w:rFonts w:eastAsia="Times New Roman"/>
                <w:szCs w:val="20"/>
                <w:lang w:eastAsia="en-US"/>
              </w:rPr>
              <w:t xml:space="preserve"> developing</w:t>
            </w:r>
            <w:r w:rsidRPr="00744948">
              <w:rPr>
                <w:rFonts w:eastAsia="Times New Roman"/>
                <w:szCs w:val="20"/>
                <w:lang w:eastAsia="en-US"/>
              </w:rPr>
              <w:t xml:space="preserve"> countries</w:t>
            </w:r>
            <w:r w:rsidR="00C5699E">
              <w:rPr>
                <w:rFonts w:eastAsia="Times New Roman"/>
                <w:szCs w:val="20"/>
                <w:lang w:eastAsia="en-US"/>
              </w:rPr>
              <w:t>.</w:t>
            </w:r>
            <w:r w:rsidRPr="00744948">
              <w:rPr>
                <w:rFonts w:eastAsia="Times New Roman"/>
                <w:szCs w:val="20"/>
                <w:lang w:eastAsia="en-US"/>
              </w:rPr>
              <w:t xml:space="preserve"> </w:t>
            </w:r>
            <w:r w:rsidR="00C5699E">
              <w:rPr>
                <w:rFonts w:eastAsia="Times New Roman"/>
                <w:szCs w:val="20"/>
                <w:lang w:eastAsia="en-US"/>
              </w:rPr>
              <w:t>T</w:t>
            </w:r>
            <w:r w:rsidRPr="00744948">
              <w:rPr>
                <w:rFonts w:eastAsia="Times New Roman"/>
                <w:szCs w:val="20"/>
                <w:lang w:eastAsia="en-US"/>
              </w:rPr>
              <w:t>herefore</w:t>
            </w:r>
            <w:r w:rsidR="00C5699E">
              <w:rPr>
                <w:rFonts w:eastAsia="Times New Roman"/>
                <w:szCs w:val="20"/>
                <w:lang w:eastAsia="en-US"/>
              </w:rPr>
              <w:t>,</w:t>
            </w:r>
            <w:r w:rsidRPr="00744948">
              <w:rPr>
                <w:rFonts w:eastAsia="Times New Roman"/>
                <w:szCs w:val="20"/>
                <w:lang w:eastAsia="en-US"/>
              </w:rPr>
              <w:t xml:space="preserve"> the considerations leading to the final regulatory action being taken are expected to be applicable to other geographical area where mercury is used in similar conditions.</w:t>
            </w:r>
          </w:p>
        </w:tc>
      </w:tr>
      <w:tr w:rsidR="00AA6543" w:rsidRPr="00744948" w14:paraId="3858C7E4" w14:textId="77777777" w:rsidTr="00B1179D">
        <w:tc>
          <w:tcPr>
            <w:tcW w:w="534" w:type="dxa"/>
          </w:tcPr>
          <w:p w14:paraId="7820AFDE"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5</w:t>
            </w:r>
            <w:r w:rsidR="00744948">
              <w:rPr>
                <w:rFonts w:eastAsia="Times New Roman"/>
                <w:b/>
                <w:bCs/>
                <w:snapToGrid w:val="0"/>
                <w:szCs w:val="20"/>
                <w:lang w:eastAsia="en-US"/>
              </w:rPr>
              <w:t>.</w:t>
            </w:r>
          </w:p>
        </w:tc>
        <w:tc>
          <w:tcPr>
            <w:tcW w:w="1842" w:type="dxa"/>
          </w:tcPr>
          <w:p w14:paraId="1907DC93" w14:textId="77777777" w:rsidR="00AA6543" w:rsidRPr="00744948" w:rsidRDefault="00AA6543" w:rsidP="00744948">
            <w:pPr>
              <w:rPr>
                <w:rFonts w:eastAsia="Times New Roman"/>
                <w:b/>
                <w:bCs/>
                <w:szCs w:val="20"/>
                <w:lang w:eastAsia="en-US"/>
              </w:rPr>
            </w:pPr>
            <w:r w:rsidRPr="00744948">
              <w:rPr>
                <w:rFonts w:eastAsia="Times New Roman"/>
                <w:b/>
                <w:bCs/>
                <w:szCs w:val="20"/>
                <w:lang w:eastAsia="en-US"/>
              </w:rPr>
              <w:t>Alternatives</w:t>
            </w:r>
          </w:p>
        </w:tc>
        <w:tc>
          <w:tcPr>
            <w:tcW w:w="7127" w:type="dxa"/>
          </w:tcPr>
          <w:p w14:paraId="5DA5AFDE" w14:textId="77777777" w:rsidR="000C6E19" w:rsidRPr="00744948" w:rsidRDefault="00851634" w:rsidP="00744948">
            <w:pPr>
              <w:rPr>
                <w:rFonts w:eastAsia="Times New Roman"/>
                <w:szCs w:val="20"/>
                <w:lang w:eastAsia="en-US"/>
              </w:rPr>
            </w:pPr>
            <w:r w:rsidRPr="00744948">
              <w:rPr>
                <w:rFonts w:eastAsia="Times New Roman"/>
                <w:szCs w:val="20"/>
                <w:lang w:eastAsia="en-US"/>
              </w:rPr>
              <w:t>None reported</w:t>
            </w:r>
          </w:p>
        </w:tc>
      </w:tr>
      <w:tr w:rsidR="00AA6543" w:rsidRPr="00744948" w14:paraId="34220C14" w14:textId="77777777" w:rsidTr="00B1179D">
        <w:tc>
          <w:tcPr>
            <w:tcW w:w="534" w:type="dxa"/>
          </w:tcPr>
          <w:p w14:paraId="40F9536A"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6</w:t>
            </w:r>
            <w:r w:rsidR="00744948">
              <w:rPr>
                <w:rFonts w:eastAsia="Times New Roman"/>
                <w:b/>
                <w:bCs/>
                <w:snapToGrid w:val="0"/>
                <w:szCs w:val="20"/>
                <w:lang w:eastAsia="en-US"/>
              </w:rPr>
              <w:t>.</w:t>
            </w:r>
          </w:p>
        </w:tc>
        <w:tc>
          <w:tcPr>
            <w:tcW w:w="1842" w:type="dxa"/>
          </w:tcPr>
          <w:p w14:paraId="3801DE54" w14:textId="77777777" w:rsidR="00AA6543" w:rsidRPr="00744948" w:rsidRDefault="00AA6543" w:rsidP="00744948">
            <w:pPr>
              <w:rPr>
                <w:rFonts w:eastAsia="Times New Roman"/>
                <w:b/>
                <w:bCs/>
                <w:szCs w:val="20"/>
                <w:lang w:eastAsia="en-US"/>
              </w:rPr>
            </w:pPr>
            <w:r w:rsidRPr="00744948">
              <w:rPr>
                <w:rFonts w:eastAsia="Times New Roman"/>
                <w:b/>
                <w:bCs/>
                <w:szCs w:val="20"/>
                <w:lang w:eastAsia="en-US"/>
              </w:rPr>
              <w:t>Waste management</w:t>
            </w:r>
          </w:p>
        </w:tc>
        <w:tc>
          <w:tcPr>
            <w:tcW w:w="7127" w:type="dxa"/>
          </w:tcPr>
          <w:p w14:paraId="3ABB07AB" w14:textId="77777777" w:rsidR="000C6E19" w:rsidRPr="00744948" w:rsidRDefault="00851634" w:rsidP="00744948">
            <w:pPr>
              <w:widowControl w:val="0"/>
              <w:rPr>
                <w:rFonts w:eastAsia="Times New Roman"/>
                <w:snapToGrid w:val="0"/>
                <w:szCs w:val="20"/>
                <w:lang w:eastAsia="en-US"/>
              </w:rPr>
            </w:pPr>
            <w:r w:rsidRPr="00744948">
              <w:rPr>
                <w:rFonts w:eastAsia="Times New Roman"/>
                <w:snapToGrid w:val="0"/>
                <w:szCs w:val="20"/>
                <w:lang w:eastAsia="en-US"/>
              </w:rPr>
              <w:t>None reported</w:t>
            </w:r>
          </w:p>
        </w:tc>
      </w:tr>
      <w:tr w:rsidR="00AA6543" w:rsidRPr="00744948" w14:paraId="7F894196" w14:textId="77777777" w:rsidTr="00B1179D">
        <w:tc>
          <w:tcPr>
            <w:tcW w:w="534" w:type="dxa"/>
          </w:tcPr>
          <w:p w14:paraId="193636C1" w14:textId="77777777" w:rsidR="00AA6543" w:rsidRPr="00744948" w:rsidRDefault="00AA6543" w:rsidP="00744948">
            <w:pPr>
              <w:widowControl w:val="0"/>
              <w:rPr>
                <w:rFonts w:eastAsia="Times New Roman"/>
                <w:b/>
                <w:bCs/>
                <w:snapToGrid w:val="0"/>
                <w:szCs w:val="20"/>
                <w:lang w:eastAsia="en-US"/>
              </w:rPr>
            </w:pPr>
            <w:r w:rsidRPr="00744948">
              <w:rPr>
                <w:rFonts w:eastAsia="Times New Roman"/>
                <w:b/>
                <w:bCs/>
                <w:snapToGrid w:val="0"/>
                <w:szCs w:val="20"/>
                <w:lang w:eastAsia="en-US"/>
              </w:rPr>
              <w:t>7</w:t>
            </w:r>
            <w:r w:rsidR="00744948">
              <w:rPr>
                <w:rFonts w:eastAsia="Times New Roman"/>
                <w:b/>
                <w:bCs/>
                <w:snapToGrid w:val="0"/>
                <w:szCs w:val="20"/>
                <w:lang w:eastAsia="en-US"/>
              </w:rPr>
              <w:t>.</w:t>
            </w:r>
          </w:p>
        </w:tc>
        <w:tc>
          <w:tcPr>
            <w:tcW w:w="1842" w:type="dxa"/>
          </w:tcPr>
          <w:p w14:paraId="4FDF5BA2" w14:textId="77777777" w:rsidR="00AA6543" w:rsidRPr="00744948" w:rsidRDefault="00AA6543" w:rsidP="00744948">
            <w:pPr>
              <w:ind w:left="288" w:hanging="288"/>
              <w:rPr>
                <w:rFonts w:eastAsia="Times New Roman"/>
                <w:b/>
                <w:snapToGrid w:val="0"/>
                <w:szCs w:val="20"/>
                <w:lang w:eastAsia="en-US"/>
              </w:rPr>
            </w:pPr>
            <w:r w:rsidRPr="00744948">
              <w:rPr>
                <w:rFonts w:eastAsia="Times New Roman"/>
                <w:b/>
                <w:szCs w:val="20"/>
                <w:lang w:eastAsia="en-US"/>
              </w:rPr>
              <w:t>Other</w:t>
            </w:r>
          </w:p>
        </w:tc>
        <w:tc>
          <w:tcPr>
            <w:tcW w:w="7127" w:type="dxa"/>
          </w:tcPr>
          <w:p w14:paraId="46CB47AB" w14:textId="77777777" w:rsidR="00AA6543" w:rsidRPr="00744948" w:rsidRDefault="00851634" w:rsidP="00744948">
            <w:pPr>
              <w:widowControl w:val="0"/>
              <w:rPr>
                <w:rFonts w:eastAsia="Times New Roman"/>
                <w:snapToGrid w:val="0"/>
                <w:szCs w:val="20"/>
                <w:lang w:eastAsia="en-US"/>
              </w:rPr>
            </w:pPr>
            <w:r w:rsidRPr="00744948">
              <w:rPr>
                <w:rFonts w:eastAsia="Times New Roman"/>
                <w:snapToGrid w:val="0"/>
                <w:szCs w:val="20"/>
                <w:lang w:eastAsia="en-US"/>
              </w:rPr>
              <w:t>None reported</w:t>
            </w:r>
          </w:p>
        </w:tc>
      </w:tr>
    </w:tbl>
    <w:p w14:paraId="4FA608DC" w14:textId="77777777" w:rsidR="00AA6543" w:rsidRDefault="00171E60" w:rsidP="008B550E">
      <w:pPr>
        <w:pStyle w:val="Heading3"/>
      </w:pPr>
      <w:r>
        <w:br w:type="page"/>
      </w:r>
      <w:r w:rsidR="00886DE7">
        <w:lastRenderedPageBreak/>
        <w:t>European Union</w:t>
      </w:r>
    </w:p>
    <w:tbl>
      <w:tblPr>
        <w:tblW w:w="0" w:type="auto"/>
        <w:tblLayout w:type="fixed"/>
        <w:tblLook w:val="0000" w:firstRow="0" w:lastRow="0" w:firstColumn="0" w:lastColumn="0" w:noHBand="0" w:noVBand="0"/>
      </w:tblPr>
      <w:tblGrid>
        <w:gridCol w:w="534"/>
        <w:gridCol w:w="1842"/>
        <w:gridCol w:w="7127"/>
      </w:tblGrid>
      <w:tr w:rsidR="00AA6543" w:rsidRPr="00B1179D" w14:paraId="78CC5667" w14:textId="77777777" w:rsidTr="00B1179D">
        <w:tc>
          <w:tcPr>
            <w:tcW w:w="534" w:type="dxa"/>
          </w:tcPr>
          <w:p w14:paraId="2FAEB305" w14:textId="77777777" w:rsidR="00AA6543" w:rsidRPr="00B1179D" w:rsidRDefault="00AA6543" w:rsidP="00744948">
            <w:pPr>
              <w:widowControl w:val="0"/>
              <w:rPr>
                <w:rFonts w:eastAsia="Times New Roman"/>
                <w:b/>
                <w:bCs/>
                <w:snapToGrid w:val="0"/>
                <w:szCs w:val="20"/>
                <w:lang w:eastAsia="en-US"/>
              </w:rPr>
            </w:pPr>
            <w:r w:rsidRPr="00B1179D">
              <w:rPr>
                <w:rFonts w:eastAsia="Times New Roman"/>
                <w:b/>
                <w:bCs/>
                <w:snapToGrid w:val="0"/>
                <w:szCs w:val="20"/>
                <w:lang w:eastAsia="en-US"/>
              </w:rPr>
              <w:t>1</w:t>
            </w:r>
            <w:r w:rsidR="00744948">
              <w:rPr>
                <w:rFonts w:eastAsia="Times New Roman"/>
                <w:b/>
                <w:bCs/>
                <w:snapToGrid w:val="0"/>
                <w:szCs w:val="20"/>
                <w:lang w:eastAsia="en-US"/>
              </w:rPr>
              <w:t>.</w:t>
            </w:r>
          </w:p>
        </w:tc>
        <w:tc>
          <w:tcPr>
            <w:tcW w:w="1842" w:type="dxa"/>
          </w:tcPr>
          <w:p w14:paraId="5C168B26" w14:textId="77777777" w:rsidR="00AA6543" w:rsidRPr="00B1179D" w:rsidRDefault="00AA6543" w:rsidP="00744948">
            <w:pPr>
              <w:rPr>
                <w:rFonts w:eastAsia="Times New Roman"/>
                <w:b/>
                <w:szCs w:val="20"/>
                <w:lang w:eastAsia="en-US"/>
              </w:rPr>
            </w:pPr>
            <w:r w:rsidRPr="00B1179D">
              <w:rPr>
                <w:rFonts w:eastAsia="Times New Roman"/>
                <w:b/>
                <w:szCs w:val="20"/>
                <w:lang w:eastAsia="en-US"/>
              </w:rPr>
              <w:t>Effective date(s) of entry into force of actions</w:t>
            </w:r>
          </w:p>
        </w:tc>
        <w:tc>
          <w:tcPr>
            <w:tcW w:w="7127" w:type="dxa"/>
          </w:tcPr>
          <w:p w14:paraId="67E523D1" w14:textId="77777777" w:rsidR="00F80F96" w:rsidRPr="00350991" w:rsidRDefault="00F80F96" w:rsidP="006726FE">
            <w:pPr>
              <w:numPr>
                <w:ilvl w:val="0"/>
                <w:numId w:val="32"/>
              </w:numPr>
              <w:rPr>
                <w:rFonts w:eastAsia="Times New Roman"/>
                <w:iCs/>
                <w:szCs w:val="20"/>
                <w:lang w:eastAsia="en-US"/>
              </w:rPr>
            </w:pPr>
            <w:r w:rsidRPr="00350991">
              <w:rPr>
                <w:rFonts w:eastAsia="Times New Roman"/>
                <w:iCs/>
                <w:szCs w:val="20"/>
                <w:lang w:eastAsia="en-US"/>
              </w:rPr>
              <w:t xml:space="preserve">Directive 2006/66/EC </w:t>
            </w:r>
            <w:r w:rsidR="00591F0D">
              <w:rPr>
                <w:rFonts w:eastAsia="Times New Roman"/>
                <w:iCs/>
                <w:szCs w:val="20"/>
                <w:lang w:eastAsia="en-US"/>
              </w:rPr>
              <w:t>entered into force on 26 September 2006</w:t>
            </w:r>
            <w:r w:rsidR="00D9781B">
              <w:rPr>
                <w:rFonts w:eastAsia="Times New Roman"/>
                <w:iCs/>
                <w:szCs w:val="20"/>
                <w:lang w:eastAsia="en-US"/>
              </w:rPr>
              <w:t>;</w:t>
            </w:r>
          </w:p>
          <w:p w14:paraId="5C9C0229" w14:textId="77777777" w:rsidR="00F80F96" w:rsidRPr="00350991" w:rsidRDefault="00F80F96" w:rsidP="006726FE">
            <w:pPr>
              <w:numPr>
                <w:ilvl w:val="0"/>
                <w:numId w:val="32"/>
              </w:numPr>
              <w:rPr>
                <w:rFonts w:eastAsia="Times New Roman"/>
                <w:iCs/>
                <w:szCs w:val="20"/>
                <w:lang w:eastAsia="en-US"/>
              </w:rPr>
            </w:pPr>
            <w:r w:rsidRPr="00350991">
              <w:rPr>
                <w:rFonts w:eastAsia="Times New Roman"/>
                <w:iCs/>
                <w:szCs w:val="20"/>
                <w:lang w:eastAsia="en-US"/>
              </w:rPr>
              <w:t>Directive 2007/51/EC</w:t>
            </w:r>
            <w:r w:rsidR="00591F0D">
              <w:rPr>
                <w:rFonts w:eastAsia="Times New Roman"/>
                <w:iCs/>
                <w:szCs w:val="20"/>
                <w:lang w:eastAsia="en-US"/>
              </w:rPr>
              <w:t xml:space="preserve"> started to apply on 3 April 2009</w:t>
            </w:r>
            <w:r w:rsidR="00D9781B">
              <w:rPr>
                <w:rFonts w:eastAsia="Times New Roman"/>
                <w:iCs/>
                <w:szCs w:val="20"/>
                <w:lang w:eastAsia="en-US"/>
              </w:rPr>
              <w:t>;</w:t>
            </w:r>
          </w:p>
          <w:p w14:paraId="680BB4AF" w14:textId="77777777" w:rsidR="00F80F96" w:rsidRPr="00350991" w:rsidRDefault="00591F0D" w:rsidP="006726FE">
            <w:pPr>
              <w:numPr>
                <w:ilvl w:val="0"/>
                <w:numId w:val="32"/>
              </w:numPr>
              <w:rPr>
                <w:rFonts w:eastAsia="Times New Roman"/>
                <w:iCs/>
                <w:szCs w:val="20"/>
                <w:lang w:eastAsia="en-US"/>
              </w:rPr>
            </w:pPr>
            <w:r>
              <w:rPr>
                <w:rFonts w:eastAsia="Times New Roman"/>
                <w:iCs/>
                <w:szCs w:val="20"/>
                <w:lang w:eastAsia="en-US"/>
              </w:rPr>
              <w:t xml:space="preserve">Commission </w:t>
            </w:r>
            <w:r w:rsidR="00F80F96" w:rsidRPr="00350991">
              <w:rPr>
                <w:rFonts w:eastAsia="Times New Roman"/>
                <w:iCs/>
                <w:szCs w:val="20"/>
                <w:lang w:eastAsia="en-US"/>
              </w:rPr>
              <w:t xml:space="preserve">Regulation (EC) No </w:t>
            </w:r>
            <w:r>
              <w:rPr>
                <w:rFonts w:eastAsia="Times New Roman"/>
                <w:iCs/>
                <w:szCs w:val="20"/>
                <w:lang w:eastAsia="en-US"/>
              </w:rPr>
              <w:t>552</w:t>
            </w:r>
            <w:r w:rsidR="00F80F96" w:rsidRPr="00350991">
              <w:rPr>
                <w:rFonts w:eastAsia="Times New Roman"/>
                <w:iCs/>
                <w:szCs w:val="20"/>
                <w:lang w:eastAsia="en-US"/>
              </w:rPr>
              <w:t>/200</w:t>
            </w:r>
            <w:r>
              <w:rPr>
                <w:rFonts w:eastAsia="Times New Roman"/>
                <w:iCs/>
                <w:szCs w:val="20"/>
                <w:lang w:eastAsia="en-US"/>
              </w:rPr>
              <w:t>9 entered into force 27 June 2009</w:t>
            </w:r>
            <w:r w:rsidR="00D9781B">
              <w:rPr>
                <w:rFonts w:eastAsia="Times New Roman"/>
                <w:iCs/>
                <w:szCs w:val="20"/>
                <w:lang w:eastAsia="en-US"/>
              </w:rPr>
              <w:t>;</w:t>
            </w:r>
            <w:r w:rsidR="00F80F96" w:rsidRPr="00350991">
              <w:rPr>
                <w:rFonts w:eastAsia="Times New Roman"/>
                <w:iCs/>
                <w:szCs w:val="20"/>
                <w:lang w:eastAsia="en-US"/>
              </w:rPr>
              <w:t xml:space="preserve"> </w:t>
            </w:r>
          </w:p>
          <w:p w14:paraId="241F9CF4" w14:textId="77777777" w:rsidR="00F80F96" w:rsidRPr="00350991" w:rsidRDefault="00F80F96" w:rsidP="006726FE">
            <w:pPr>
              <w:numPr>
                <w:ilvl w:val="0"/>
                <w:numId w:val="32"/>
              </w:numPr>
              <w:rPr>
                <w:rFonts w:eastAsia="Times New Roman"/>
                <w:iCs/>
                <w:szCs w:val="20"/>
                <w:lang w:eastAsia="en-US"/>
              </w:rPr>
            </w:pPr>
            <w:r w:rsidRPr="00350991">
              <w:rPr>
                <w:rFonts w:eastAsia="Times New Roman"/>
                <w:iCs/>
                <w:szCs w:val="20"/>
                <w:lang w:eastAsia="en-US"/>
              </w:rPr>
              <w:t xml:space="preserve">Directive 2011/65/EU </w:t>
            </w:r>
            <w:r w:rsidR="00591F0D">
              <w:rPr>
                <w:rFonts w:eastAsia="Times New Roman"/>
                <w:iCs/>
                <w:szCs w:val="20"/>
                <w:lang w:eastAsia="en-US"/>
              </w:rPr>
              <w:t>entered into force 21 July 2011</w:t>
            </w:r>
            <w:r w:rsidR="00D9781B">
              <w:rPr>
                <w:rFonts w:eastAsia="Times New Roman"/>
                <w:iCs/>
                <w:szCs w:val="20"/>
                <w:lang w:eastAsia="en-US"/>
              </w:rPr>
              <w:t>;</w:t>
            </w:r>
          </w:p>
          <w:p w14:paraId="6BD50E63" w14:textId="77777777" w:rsidR="00F80F96" w:rsidRPr="00350991" w:rsidRDefault="00F80F96" w:rsidP="006726FE">
            <w:pPr>
              <w:numPr>
                <w:ilvl w:val="0"/>
                <w:numId w:val="32"/>
              </w:numPr>
              <w:rPr>
                <w:rFonts w:eastAsia="Times New Roman"/>
                <w:iCs/>
                <w:szCs w:val="20"/>
                <w:lang w:eastAsia="en-US"/>
              </w:rPr>
            </w:pPr>
            <w:r w:rsidRPr="00350991">
              <w:rPr>
                <w:rFonts w:eastAsia="Times New Roman"/>
                <w:iCs/>
                <w:szCs w:val="20"/>
                <w:lang w:eastAsia="en-US"/>
              </w:rPr>
              <w:t>Commission Regulation (EU)</w:t>
            </w:r>
            <w:r w:rsidR="00591F0D">
              <w:rPr>
                <w:rFonts w:eastAsia="Times New Roman"/>
                <w:iCs/>
                <w:szCs w:val="20"/>
                <w:lang w:eastAsia="en-US"/>
              </w:rPr>
              <w:t xml:space="preserve"> No 847/2012 started to apply on 10 April 2014</w:t>
            </w:r>
            <w:r w:rsidR="00D9781B">
              <w:rPr>
                <w:rFonts w:eastAsia="Times New Roman"/>
                <w:iCs/>
                <w:szCs w:val="20"/>
                <w:lang w:eastAsia="en-US"/>
              </w:rPr>
              <w:t>;</w:t>
            </w:r>
          </w:p>
          <w:p w14:paraId="6795CC52" w14:textId="77777777" w:rsidR="00591F0D" w:rsidRPr="00744948" w:rsidRDefault="00F80F96" w:rsidP="006726FE">
            <w:pPr>
              <w:numPr>
                <w:ilvl w:val="0"/>
                <w:numId w:val="32"/>
              </w:numPr>
              <w:rPr>
                <w:rFonts w:eastAsia="Times New Roman"/>
                <w:szCs w:val="20"/>
                <w:lang w:eastAsia="en-US"/>
              </w:rPr>
            </w:pPr>
            <w:r w:rsidRPr="00350991">
              <w:rPr>
                <w:rFonts w:eastAsia="Times New Roman"/>
                <w:iCs/>
                <w:szCs w:val="20"/>
                <w:lang w:eastAsia="en-US"/>
              </w:rPr>
              <w:t>Regulation (EU) 2017/852</w:t>
            </w:r>
            <w:r w:rsidR="00591F0D">
              <w:rPr>
                <w:rFonts w:eastAsia="Times New Roman"/>
                <w:iCs/>
                <w:szCs w:val="20"/>
                <w:lang w:eastAsia="en-US"/>
              </w:rPr>
              <w:t xml:space="preserve"> entered into force on 13 June 2017</w:t>
            </w:r>
            <w:r w:rsidR="004C1BA1">
              <w:rPr>
                <w:rFonts w:eastAsia="Times New Roman"/>
                <w:iCs/>
                <w:szCs w:val="20"/>
                <w:lang w:eastAsia="en-US"/>
              </w:rPr>
              <w:t>.</w:t>
            </w:r>
          </w:p>
        </w:tc>
      </w:tr>
      <w:tr w:rsidR="00AA6543" w:rsidRPr="00B1179D" w14:paraId="304A0486" w14:textId="77777777" w:rsidTr="00B1179D">
        <w:tc>
          <w:tcPr>
            <w:tcW w:w="534" w:type="dxa"/>
          </w:tcPr>
          <w:p w14:paraId="521BADD8" w14:textId="77777777" w:rsidR="00AA6543" w:rsidRPr="00B1179D" w:rsidRDefault="00AA6543" w:rsidP="00744948">
            <w:pPr>
              <w:widowControl w:val="0"/>
              <w:rPr>
                <w:rFonts w:eastAsia="Times New Roman"/>
                <w:b/>
                <w:bCs/>
                <w:snapToGrid w:val="0"/>
                <w:szCs w:val="20"/>
                <w:lang w:eastAsia="en-US"/>
              </w:rPr>
            </w:pPr>
          </w:p>
        </w:tc>
        <w:tc>
          <w:tcPr>
            <w:tcW w:w="1842" w:type="dxa"/>
          </w:tcPr>
          <w:p w14:paraId="0AE91E33" w14:textId="77777777" w:rsidR="00AA6543" w:rsidRPr="00B1179D" w:rsidRDefault="00AA6543" w:rsidP="00744948">
            <w:pPr>
              <w:rPr>
                <w:rFonts w:eastAsia="Times New Roman"/>
                <w:b/>
                <w:szCs w:val="20"/>
                <w:lang w:eastAsia="en-US"/>
              </w:rPr>
            </w:pPr>
            <w:r w:rsidRPr="00B1179D">
              <w:rPr>
                <w:rFonts w:eastAsia="Times New Roman"/>
                <w:b/>
                <w:szCs w:val="20"/>
                <w:lang w:eastAsia="en-US"/>
              </w:rPr>
              <w:t>Reference to the regulatory document</w:t>
            </w:r>
          </w:p>
        </w:tc>
        <w:tc>
          <w:tcPr>
            <w:tcW w:w="7127" w:type="dxa"/>
          </w:tcPr>
          <w:p w14:paraId="2C383F21" w14:textId="77777777" w:rsidR="00F32CA4" w:rsidRPr="00F32CA4" w:rsidRDefault="00F32CA4" w:rsidP="00744948">
            <w:pPr>
              <w:rPr>
                <w:rFonts w:eastAsia="Times New Roman"/>
                <w:szCs w:val="20"/>
                <w:lang w:eastAsia="en-US"/>
              </w:rPr>
            </w:pPr>
            <w:r w:rsidRPr="00F32CA4">
              <w:rPr>
                <w:rFonts w:eastAsia="Times New Roman"/>
                <w:szCs w:val="20"/>
                <w:lang w:eastAsia="en-US"/>
              </w:rPr>
              <w:t>Directive 2006/66/EC of the European Parliament and of the Council of 6 September 2006 on</w:t>
            </w:r>
            <w:r>
              <w:rPr>
                <w:rFonts w:eastAsia="Times New Roman"/>
                <w:szCs w:val="20"/>
                <w:lang w:eastAsia="en-US"/>
              </w:rPr>
              <w:t xml:space="preserve"> </w:t>
            </w:r>
            <w:r w:rsidRPr="00F32CA4">
              <w:rPr>
                <w:rFonts w:eastAsia="Times New Roman"/>
                <w:szCs w:val="20"/>
                <w:lang w:eastAsia="en-US"/>
              </w:rPr>
              <w:t>batteries and accumulators and waste batteries and accumulators and repealing Directive</w:t>
            </w:r>
            <w:r>
              <w:rPr>
                <w:rFonts w:eastAsia="Times New Roman"/>
                <w:szCs w:val="20"/>
                <w:lang w:eastAsia="en-US"/>
              </w:rPr>
              <w:t xml:space="preserve"> </w:t>
            </w:r>
            <w:r w:rsidRPr="00F32CA4">
              <w:rPr>
                <w:rFonts w:eastAsia="Times New Roman"/>
                <w:szCs w:val="20"/>
                <w:lang w:eastAsia="en-US"/>
              </w:rPr>
              <w:t>91/157/EEC</w:t>
            </w:r>
            <w:r>
              <w:rPr>
                <w:rFonts w:eastAsia="Times New Roman"/>
                <w:szCs w:val="20"/>
                <w:lang w:eastAsia="en-US"/>
              </w:rPr>
              <w:t>.</w:t>
            </w:r>
          </w:p>
          <w:p w14:paraId="04DA9C19" w14:textId="77777777" w:rsidR="00F32CA4" w:rsidRPr="00F32CA4" w:rsidRDefault="00000000" w:rsidP="00744948">
            <w:pPr>
              <w:rPr>
                <w:rFonts w:eastAsia="Times New Roman"/>
                <w:szCs w:val="20"/>
                <w:lang w:eastAsia="en-US"/>
              </w:rPr>
            </w:pPr>
            <w:hyperlink r:id="rId29" w:history="1">
              <w:r w:rsidR="00F32CA4" w:rsidRPr="00175CDD">
                <w:rPr>
                  <w:rStyle w:val="Hyperlink"/>
                  <w:rFonts w:eastAsia="Times New Roman"/>
                  <w:szCs w:val="20"/>
                  <w:lang w:eastAsia="en-US"/>
                </w:rPr>
                <w:t>http://data.europa.eu/eli/dir/2006/66/2018-07-04</w:t>
              </w:r>
            </w:hyperlink>
          </w:p>
          <w:p w14:paraId="51A32D05" w14:textId="77777777" w:rsidR="00F32CA4" w:rsidRPr="00F32CA4" w:rsidRDefault="00F32CA4" w:rsidP="00744948">
            <w:pPr>
              <w:rPr>
                <w:rFonts w:eastAsia="Times New Roman"/>
                <w:szCs w:val="20"/>
                <w:lang w:eastAsia="en-US"/>
              </w:rPr>
            </w:pPr>
            <w:r w:rsidRPr="00F32CA4">
              <w:rPr>
                <w:rFonts w:eastAsia="Times New Roman"/>
                <w:szCs w:val="20"/>
                <w:lang w:eastAsia="en-US"/>
              </w:rPr>
              <w:t>Directive 2007/51/EC of the European Parliament and of the Council of 25 September 2007</w:t>
            </w:r>
            <w:r>
              <w:rPr>
                <w:rFonts w:eastAsia="Times New Roman"/>
                <w:szCs w:val="20"/>
                <w:lang w:eastAsia="en-US"/>
              </w:rPr>
              <w:t xml:space="preserve"> </w:t>
            </w:r>
            <w:r w:rsidRPr="00F32CA4">
              <w:rPr>
                <w:rFonts w:eastAsia="Times New Roman"/>
                <w:szCs w:val="20"/>
                <w:lang w:eastAsia="en-US"/>
              </w:rPr>
              <w:t xml:space="preserve">amending Council Directive 76/769/EEC relating to restrictions on the marketing of </w:t>
            </w:r>
            <w:r>
              <w:rPr>
                <w:rFonts w:eastAsia="Times New Roman"/>
                <w:szCs w:val="20"/>
                <w:lang w:eastAsia="en-US"/>
              </w:rPr>
              <w:t xml:space="preserve">certain </w:t>
            </w:r>
            <w:r w:rsidRPr="00F32CA4">
              <w:rPr>
                <w:rFonts w:eastAsia="Times New Roman"/>
                <w:szCs w:val="20"/>
                <w:lang w:eastAsia="en-US"/>
              </w:rPr>
              <w:t>measuring devices containing mercury</w:t>
            </w:r>
            <w:r w:rsidR="004F7C6B">
              <w:rPr>
                <w:rFonts w:eastAsia="Times New Roman"/>
                <w:szCs w:val="20"/>
                <w:lang w:eastAsia="en-US"/>
              </w:rPr>
              <w:t>.</w:t>
            </w:r>
          </w:p>
          <w:p w14:paraId="7C02ECA8" w14:textId="77777777" w:rsidR="00F32CA4" w:rsidRPr="00F32CA4" w:rsidRDefault="00000000" w:rsidP="00744948">
            <w:pPr>
              <w:rPr>
                <w:rFonts w:eastAsia="Times New Roman"/>
                <w:szCs w:val="20"/>
                <w:lang w:eastAsia="en-US"/>
              </w:rPr>
            </w:pPr>
            <w:hyperlink r:id="rId30" w:history="1">
              <w:r w:rsidR="00F16A88">
                <w:rPr>
                  <w:rStyle w:val="Hyperlink"/>
                  <w:rFonts w:eastAsia="Times New Roman"/>
                  <w:szCs w:val="20"/>
                  <w:lang w:eastAsia="en-US"/>
                </w:rPr>
                <w:t>http://data.europa.eu/eli/dir/2007/51/oj</w:t>
              </w:r>
            </w:hyperlink>
          </w:p>
          <w:p w14:paraId="173DF30D" w14:textId="77777777" w:rsidR="00F32CA4" w:rsidRPr="00F32CA4" w:rsidRDefault="00F32CA4" w:rsidP="00744948">
            <w:pPr>
              <w:rPr>
                <w:rFonts w:eastAsia="Times New Roman"/>
                <w:szCs w:val="20"/>
                <w:lang w:eastAsia="en-US"/>
              </w:rPr>
            </w:pPr>
            <w:r w:rsidRPr="00F32CA4">
              <w:rPr>
                <w:rFonts w:eastAsia="Times New Roman"/>
                <w:szCs w:val="20"/>
                <w:lang w:eastAsia="en-US"/>
              </w:rPr>
              <w:t xml:space="preserve">Commission Regulation (EC) No 552/2009 of 22 June 2009 amending Regulation (EC) No1907/2006 of the European Parliament and of the Council on the Registration, </w:t>
            </w:r>
            <w:proofErr w:type="spellStart"/>
            <w:r w:rsidRPr="00F32CA4">
              <w:rPr>
                <w:rFonts w:eastAsia="Times New Roman"/>
                <w:szCs w:val="20"/>
                <w:lang w:eastAsia="en-US"/>
              </w:rPr>
              <w:t>Evaluation,Authorisation</w:t>
            </w:r>
            <w:proofErr w:type="spellEnd"/>
            <w:r w:rsidRPr="00F32CA4">
              <w:rPr>
                <w:rFonts w:eastAsia="Times New Roman"/>
                <w:szCs w:val="20"/>
                <w:lang w:eastAsia="en-US"/>
              </w:rPr>
              <w:t xml:space="preserve"> and Restriction of Chemicals (REACH) as regards Annex XVII</w:t>
            </w:r>
            <w:r w:rsidR="004F7C6B">
              <w:rPr>
                <w:rFonts w:eastAsia="Times New Roman"/>
                <w:szCs w:val="20"/>
                <w:lang w:eastAsia="en-US"/>
              </w:rPr>
              <w:t>.</w:t>
            </w:r>
          </w:p>
          <w:p w14:paraId="3EA203AD" w14:textId="77777777" w:rsidR="00F32CA4" w:rsidRPr="00F32CA4" w:rsidRDefault="00000000" w:rsidP="00744948">
            <w:pPr>
              <w:rPr>
                <w:rFonts w:eastAsia="Times New Roman"/>
                <w:szCs w:val="20"/>
                <w:lang w:eastAsia="en-US"/>
              </w:rPr>
            </w:pPr>
            <w:hyperlink r:id="rId31" w:history="1">
              <w:r w:rsidR="00F16A88">
                <w:rPr>
                  <w:rStyle w:val="Hyperlink"/>
                  <w:rFonts w:eastAsia="Times New Roman"/>
                  <w:szCs w:val="20"/>
                  <w:lang w:eastAsia="en-US"/>
                </w:rPr>
                <w:t>http://data.europa.eu/eli/reg/2009/552/oj</w:t>
              </w:r>
            </w:hyperlink>
          </w:p>
          <w:p w14:paraId="6873E866" w14:textId="77777777" w:rsidR="00F32CA4" w:rsidRPr="00F32CA4" w:rsidRDefault="00F32CA4" w:rsidP="00744948">
            <w:pPr>
              <w:rPr>
                <w:rFonts w:eastAsia="Times New Roman"/>
                <w:szCs w:val="20"/>
                <w:lang w:eastAsia="en-US"/>
              </w:rPr>
            </w:pPr>
            <w:r w:rsidRPr="00F32CA4">
              <w:rPr>
                <w:rFonts w:eastAsia="Times New Roman"/>
                <w:szCs w:val="20"/>
                <w:lang w:eastAsia="en-US"/>
              </w:rPr>
              <w:t>Commission Regulation (EU) No 847/2012 of 19 September 2012 amending Annex XVII to</w:t>
            </w:r>
            <w:r>
              <w:rPr>
                <w:rFonts w:eastAsia="Times New Roman"/>
                <w:szCs w:val="20"/>
                <w:lang w:eastAsia="en-US"/>
              </w:rPr>
              <w:t xml:space="preserve"> </w:t>
            </w:r>
            <w:r w:rsidRPr="00F32CA4">
              <w:rPr>
                <w:rFonts w:eastAsia="Times New Roman"/>
                <w:szCs w:val="20"/>
                <w:lang w:eastAsia="en-US"/>
              </w:rPr>
              <w:t>Regulation (EC) No 1907/2006 of the European Parliament and of the Council on the</w:t>
            </w:r>
            <w:r>
              <w:rPr>
                <w:rFonts w:eastAsia="Times New Roman"/>
                <w:szCs w:val="20"/>
                <w:lang w:eastAsia="en-US"/>
              </w:rPr>
              <w:t xml:space="preserve"> </w:t>
            </w:r>
            <w:r w:rsidRPr="00F32CA4">
              <w:rPr>
                <w:rFonts w:eastAsia="Times New Roman"/>
                <w:szCs w:val="20"/>
                <w:lang w:eastAsia="en-US"/>
              </w:rPr>
              <w:t>Registration, Evaluation, Authorisation and Restriction of Chemicals (REACH) as regards</w:t>
            </w:r>
            <w:r>
              <w:rPr>
                <w:rFonts w:eastAsia="Times New Roman"/>
                <w:szCs w:val="20"/>
                <w:lang w:eastAsia="en-US"/>
              </w:rPr>
              <w:t xml:space="preserve"> </w:t>
            </w:r>
            <w:r w:rsidRPr="00F32CA4">
              <w:rPr>
                <w:rFonts w:eastAsia="Times New Roman"/>
                <w:szCs w:val="20"/>
                <w:lang w:eastAsia="en-US"/>
              </w:rPr>
              <w:t>mercury</w:t>
            </w:r>
            <w:r w:rsidR="004F7C6B">
              <w:rPr>
                <w:rFonts w:eastAsia="Times New Roman"/>
                <w:szCs w:val="20"/>
                <w:lang w:eastAsia="en-US"/>
              </w:rPr>
              <w:t>.</w:t>
            </w:r>
          </w:p>
          <w:p w14:paraId="41A7881E" w14:textId="77777777" w:rsidR="00F32CA4" w:rsidRPr="00F32CA4" w:rsidRDefault="00000000" w:rsidP="00744948">
            <w:pPr>
              <w:rPr>
                <w:rFonts w:eastAsia="Times New Roman"/>
                <w:szCs w:val="20"/>
                <w:lang w:eastAsia="en-US"/>
              </w:rPr>
            </w:pPr>
            <w:hyperlink r:id="rId32" w:history="1">
              <w:r w:rsidR="008A7E51">
                <w:rPr>
                  <w:rStyle w:val="Hyperlink"/>
                  <w:rFonts w:eastAsia="Times New Roman"/>
                  <w:szCs w:val="20"/>
                  <w:lang w:eastAsia="en-US"/>
                </w:rPr>
                <w:t>http://data.europa.eu/eli/reg/2012/847/oj</w:t>
              </w:r>
            </w:hyperlink>
          </w:p>
          <w:p w14:paraId="531DB26D" w14:textId="77777777" w:rsidR="00F32CA4" w:rsidRPr="00F32CA4" w:rsidRDefault="00F32CA4" w:rsidP="00744948">
            <w:pPr>
              <w:rPr>
                <w:rFonts w:eastAsia="Times New Roman"/>
                <w:szCs w:val="20"/>
                <w:lang w:eastAsia="en-US"/>
              </w:rPr>
            </w:pPr>
            <w:r w:rsidRPr="00F32CA4">
              <w:rPr>
                <w:rFonts w:eastAsia="Times New Roman"/>
                <w:szCs w:val="20"/>
                <w:lang w:eastAsia="en-US"/>
              </w:rPr>
              <w:t>Directive 2011/65/EU of the European Parliament and of the Council of 8 June 2011 on the</w:t>
            </w:r>
            <w:r>
              <w:rPr>
                <w:rFonts w:eastAsia="Times New Roman"/>
                <w:szCs w:val="20"/>
                <w:lang w:eastAsia="en-US"/>
              </w:rPr>
              <w:t xml:space="preserve"> </w:t>
            </w:r>
            <w:r w:rsidRPr="00F32CA4">
              <w:rPr>
                <w:rFonts w:eastAsia="Times New Roman"/>
                <w:szCs w:val="20"/>
                <w:lang w:eastAsia="en-US"/>
              </w:rPr>
              <w:t>restriction of the use of certain hazardous substances in electrical and electronic equipment.</w:t>
            </w:r>
          </w:p>
          <w:p w14:paraId="3552DD09" w14:textId="77777777" w:rsidR="00F32CA4" w:rsidRPr="00F32CA4" w:rsidRDefault="00000000" w:rsidP="00744948">
            <w:pPr>
              <w:rPr>
                <w:rFonts w:eastAsia="Times New Roman"/>
                <w:szCs w:val="20"/>
                <w:lang w:eastAsia="en-US"/>
              </w:rPr>
            </w:pPr>
            <w:hyperlink r:id="rId33" w:history="1">
              <w:r w:rsidR="00F32CA4" w:rsidRPr="00175CDD">
                <w:rPr>
                  <w:rStyle w:val="Hyperlink"/>
                  <w:rFonts w:eastAsia="Times New Roman"/>
                  <w:szCs w:val="20"/>
                  <w:lang w:eastAsia="en-US"/>
                </w:rPr>
                <w:t>http://data.europa.eu/eli/dir/2011/65/2020-09-01</w:t>
              </w:r>
            </w:hyperlink>
          </w:p>
          <w:p w14:paraId="46F66927" w14:textId="77777777" w:rsidR="00F32CA4" w:rsidRPr="00F32CA4" w:rsidRDefault="00F32CA4" w:rsidP="00744948">
            <w:pPr>
              <w:rPr>
                <w:rFonts w:eastAsia="Times New Roman"/>
                <w:szCs w:val="20"/>
                <w:lang w:eastAsia="en-US"/>
              </w:rPr>
            </w:pPr>
            <w:r w:rsidRPr="00F32CA4">
              <w:rPr>
                <w:rFonts w:eastAsia="Times New Roman"/>
                <w:szCs w:val="20"/>
                <w:lang w:eastAsia="en-US"/>
              </w:rPr>
              <w:t>Regulation (EU) 2017/852 of the European Parliament and of the Council of 17 May 2017 on</w:t>
            </w:r>
            <w:r>
              <w:rPr>
                <w:rFonts w:eastAsia="Times New Roman"/>
                <w:szCs w:val="20"/>
                <w:lang w:eastAsia="en-US"/>
              </w:rPr>
              <w:t xml:space="preserve"> </w:t>
            </w:r>
            <w:r w:rsidRPr="00F32CA4">
              <w:rPr>
                <w:rFonts w:eastAsia="Times New Roman"/>
                <w:szCs w:val="20"/>
                <w:lang w:eastAsia="en-US"/>
              </w:rPr>
              <w:t>mercury, and repealing Regulation (EC) No 1102/2008.</w:t>
            </w:r>
          </w:p>
          <w:p w14:paraId="762CD08F" w14:textId="77777777" w:rsidR="00F32CA4" w:rsidRPr="00B1179D" w:rsidRDefault="00000000" w:rsidP="00744948">
            <w:pPr>
              <w:rPr>
                <w:rFonts w:eastAsia="Times New Roman"/>
                <w:szCs w:val="20"/>
                <w:lang w:eastAsia="en-US"/>
              </w:rPr>
            </w:pPr>
            <w:hyperlink r:id="rId34" w:history="1">
              <w:r w:rsidR="008A7E51">
                <w:rPr>
                  <w:rStyle w:val="Hyperlink"/>
                  <w:rFonts w:eastAsia="Times New Roman"/>
                  <w:szCs w:val="20"/>
                  <w:lang w:eastAsia="en-US"/>
                </w:rPr>
                <w:t>http://data.europa.eu/eli/reg/2017/852/oj</w:t>
              </w:r>
            </w:hyperlink>
          </w:p>
        </w:tc>
      </w:tr>
      <w:tr w:rsidR="00AA6543" w:rsidRPr="00B1179D" w14:paraId="21B6853F" w14:textId="77777777" w:rsidTr="00B1179D">
        <w:tc>
          <w:tcPr>
            <w:tcW w:w="534" w:type="dxa"/>
          </w:tcPr>
          <w:p w14:paraId="229C44D9" w14:textId="77777777" w:rsidR="00AA6543" w:rsidRPr="00B1179D" w:rsidRDefault="00AA6543" w:rsidP="00744948">
            <w:pPr>
              <w:widowControl w:val="0"/>
              <w:rPr>
                <w:rFonts w:eastAsia="Times New Roman"/>
                <w:b/>
                <w:bCs/>
                <w:snapToGrid w:val="0"/>
                <w:szCs w:val="20"/>
                <w:lang w:eastAsia="en-US"/>
              </w:rPr>
            </w:pPr>
            <w:r w:rsidRPr="00B1179D">
              <w:rPr>
                <w:rFonts w:eastAsia="Times New Roman"/>
                <w:b/>
                <w:bCs/>
                <w:snapToGrid w:val="0"/>
                <w:szCs w:val="20"/>
                <w:lang w:eastAsia="en-US"/>
              </w:rPr>
              <w:t>2</w:t>
            </w:r>
            <w:r w:rsidR="00744948">
              <w:rPr>
                <w:rFonts w:eastAsia="Times New Roman"/>
                <w:b/>
                <w:bCs/>
                <w:snapToGrid w:val="0"/>
                <w:szCs w:val="20"/>
                <w:lang w:eastAsia="en-US"/>
              </w:rPr>
              <w:t>.</w:t>
            </w:r>
          </w:p>
        </w:tc>
        <w:tc>
          <w:tcPr>
            <w:tcW w:w="1842" w:type="dxa"/>
          </w:tcPr>
          <w:p w14:paraId="600A0D33" w14:textId="77777777" w:rsidR="00AA6543" w:rsidRPr="00B1179D" w:rsidRDefault="00AA6543" w:rsidP="00744948">
            <w:pPr>
              <w:rPr>
                <w:rFonts w:eastAsia="Times New Roman"/>
                <w:b/>
                <w:bCs/>
                <w:szCs w:val="20"/>
                <w:lang w:eastAsia="en-US"/>
              </w:rPr>
            </w:pPr>
            <w:r w:rsidRPr="00B1179D">
              <w:rPr>
                <w:rFonts w:eastAsia="Times New Roman"/>
                <w:b/>
                <w:bCs/>
                <w:szCs w:val="20"/>
                <w:lang w:eastAsia="en-US"/>
              </w:rPr>
              <w:t>Succinct details of the final regulatory action(s)</w:t>
            </w:r>
          </w:p>
        </w:tc>
        <w:tc>
          <w:tcPr>
            <w:tcW w:w="7127" w:type="dxa"/>
          </w:tcPr>
          <w:p w14:paraId="7CA94B98" w14:textId="77777777" w:rsidR="00591F0D" w:rsidRPr="00591F0D" w:rsidRDefault="00591F0D" w:rsidP="00744948">
            <w:pPr>
              <w:rPr>
                <w:rFonts w:eastAsia="Times New Roman"/>
                <w:iCs/>
                <w:szCs w:val="20"/>
                <w:lang w:eastAsia="en-US"/>
              </w:rPr>
            </w:pPr>
            <w:r w:rsidRPr="00591F0D">
              <w:rPr>
                <w:rFonts w:eastAsia="Times New Roman"/>
                <w:iCs/>
                <w:szCs w:val="20"/>
                <w:lang w:eastAsia="en-US"/>
              </w:rPr>
              <w:t xml:space="preserve">The use of mercury as an industrial chemical is severely restricted in the European Union pursuant to Regulation (EU) 2017/852 on mercury, Regulation (EC) 1907/2006 (REACH), Directive 2011/65/EU (RoHS) and Directive 2006/66/EC (batteries and accumulators). More specifically: </w:t>
            </w:r>
          </w:p>
          <w:p w14:paraId="05C5FFE8" w14:textId="77777777" w:rsidR="00591F0D" w:rsidRPr="00591F0D" w:rsidRDefault="00591F0D" w:rsidP="006726FE">
            <w:pPr>
              <w:numPr>
                <w:ilvl w:val="0"/>
                <w:numId w:val="33"/>
              </w:numPr>
              <w:rPr>
                <w:rFonts w:eastAsia="Times New Roman"/>
                <w:iCs/>
                <w:szCs w:val="20"/>
                <w:lang w:eastAsia="en-US"/>
              </w:rPr>
            </w:pPr>
            <w:r w:rsidRPr="00591F0D">
              <w:rPr>
                <w:rFonts w:eastAsia="Times New Roman"/>
                <w:iCs/>
                <w:szCs w:val="20"/>
                <w:lang w:eastAsia="en-US"/>
              </w:rPr>
              <w:t xml:space="preserve">In 2006, Directive 2006/66/EC introduced a prohibition on the placing on the market of batteries and accumulators containing mercury; </w:t>
            </w:r>
          </w:p>
          <w:p w14:paraId="17F71A29" w14:textId="77777777" w:rsidR="00591F0D" w:rsidRPr="00591F0D" w:rsidRDefault="00591F0D" w:rsidP="006726FE">
            <w:pPr>
              <w:numPr>
                <w:ilvl w:val="0"/>
                <w:numId w:val="33"/>
              </w:numPr>
              <w:rPr>
                <w:rFonts w:eastAsia="Times New Roman"/>
                <w:iCs/>
                <w:szCs w:val="20"/>
                <w:lang w:eastAsia="en-US"/>
              </w:rPr>
            </w:pPr>
            <w:r w:rsidRPr="00591F0D">
              <w:rPr>
                <w:rFonts w:eastAsia="Times New Roman"/>
                <w:iCs/>
                <w:szCs w:val="20"/>
                <w:lang w:eastAsia="en-US"/>
              </w:rPr>
              <w:t xml:space="preserve">In 2007, Directive 2007/51/EC introduced a restriction under Directive 76/769/EEC on the placing on the market of mercury in fever thermometers and in other measuring devices intended for sale to the general public; </w:t>
            </w:r>
          </w:p>
          <w:p w14:paraId="7DB3572E" w14:textId="77777777" w:rsidR="00591F0D" w:rsidRPr="00591F0D" w:rsidRDefault="00591F0D" w:rsidP="006726FE">
            <w:pPr>
              <w:numPr>
                <w:ilvl w:val="0"/>
                <w:numId w:val="33"/>
              </w:numPr>
              <w:rPr>
                <w:rFonts w:eastAsia="Times New Roman"/>
                <w:iCs/>
                <w:szCs w:val="20"/>
                <w:lang w:eastAsia="en-US"/>
              </w:rPr>
            </w:pPr>
            <w:r w:rsidRPr="00591F0D">
              <w:rPr>
                <w:rFonts w:eastAsia="Times New Roman"/>
                <w:iCs/>
                <w:szCs w:val="20"/>
                <w:lang w:eastAsia="en-US"/>
              </w:rPr>
              <w:t xml:space="preserve">Regulation (EC) No 1907/2006 (REACH) repealed Directive 76/769/EEC. Commission Regulation (EC) No 552/2009 amended Annex XVII to REACH by incorporating in entry 18.a the restrictions on certain measuring devices containing mercury that was adopted under Directive 2007/51/EC; </w:t>
            </w:r>
          </w:p>
          <w:p w14:paraId="64247A11" w14:textId="77777777" w:rsidR="00591F0D" w:rsidRPr="00591F0D" w:rsidRDefault="00591F0D" w:rsidP="006726FE">
            <w:pPr>
              <w:numPr>
                <w:ilvl w:val="0"/>
                <w:numId w:val="33"/>
              </w:numPr>
              <w:rPr>
                <w:rFonts w:eastAsia="Times New Roman"/>
                <w:iCs/>
                <w:szCs w:val="20"/>
                <w:lang w:eastAsia="en-US"/>
              </w:rPr>
            </w:pPr>
            <w:r w:rsidRPr="00591F0D">
              <w:rPr>
                <w:rFonts w:eastAsia="Times New Roman"/>
                <w:iCs/>
                <w:szCs w:val="20"/>
                <w:lang w:eastAsia="en-US"/>
              </w:rPr>
              <w:t xml:space="preserve">In 2011, Directive 2011/65/EU (RoHS) established a restriction on the placing on the market of electric and electronic equipment to a maximum concentration value of 0.1% of mercury, allowing exemptions for certain applications for a limited time period; </w:t>
            </w:r>
          </w:p>
          <w:p w14:paraId="666BCFD7" w14:textId="77777777" w:rsidR="00591F0D" w:rsidRPr="00591F0D" w:rsidRDefault="00591F0D" w:rsidP="006726FE">
            <w:pPr>
              <w:numPr>
                <w:ilvl w:val="0"/>
                <w:numId w:val="33"/>
              </w:numPr>
              <w:rPr>
                <w:rFonts w:eastAsia="Times New Roman"/>
                <w:iCs/>
                <w:szCs w:val="20"/>
                <w:lang w:eastAsia="en-US"/>
              </w:rPr>
            </w:pPr>
            <w:r w:rsidRPr="00591F0D">
              <w:rPr>
                <w:rFonts w:eastAsia="Times New Roman"/>
                <w:iCs/>
                <w:szCs w:val="20"/>
                <w:lang w:eastAsia="en-US"/>
              </w:rPr>
              <w:lastRenderedPageBreak/>
              <w:t xml:space="preserve">Commission Regulation (EU) No 847/2012 amended Annex XVII to REACH by incorporating in entry 18.a. a restriction on the placing on the market of mercury-containing and mercury- using measuring devices intended for industrial and professional uses. The restriction started to apply from 10 April 2014; </w:t>
            </w:r>
          </w:p>
          <w:p w14:paraId="51115A00" w14:textId="77777777" w:rsidR="00591F0D" w:rsidRPr="00744948" w:rsidRDefault="00591F0D" w:rsidP="006726FE">
            <w:pPr>
              <w:numPr>
                <w:ilvl w:val="0"/>
                <w:numId w:val="33"/>
              </w:numPr>
              <w:rPr>
                <w:rFonts w:eastAsia="Times New Roman"/>
                <w:i/>
                <w:szCs w:val="20"/>
                <w:lang w:eastAsia="en-US"/>
              </w:rPr>
            </w:pPr>
            <w:r w:rsidRPr="00591F0D">
              <w:rPr>
                <w:rFonts w:eastAsia="Times New Roman"/>
                <w:iCs/>
                <w:szCs w:val="20"/>
                <w:lang w:eastAsia="en-US"/>
              </w:rPr>
              <w:t>Regulation (EU) 2017/852 on mercury was adopted in May 2017. This regulation complements the European Union acquis and lays down the provisions that are needed to ensure the complete alignment of the European Union acquis with the Minamata Convention on Mercury establishing measures and conditions concerning the use and storage of and trade in mercury, mercury compounds and mixtures of mercury, and the manufacture and use of and trade in mercury-added products, and the management of mercury waste.</w:t>
            </w:r>
          </w:p>
        </w:tc>
      </w:tr>
      <w:tr w:rsidR="00AA6543" w:rsidRPr="00B1179D" w14:paraId="5FB8D19F" w14:textId="77777777" w:rsidTr="00B1179D">
        <w:tc>
          <w:tcPr>
            <w:tcW w:w="534" w:type="dxa"/>
          </w:tcPr>
          <w:p w14:paraId="72229428" w14:textId="77777777" w:rsidR="00AA6543" w:rsidRPr="00B1179D" w:rsidRDefault="00AA6543" w:rsidP="00744948">
            <w:pPr>
              <w:widowControl w:val="0"/>
              <w:rPr>
                <w:rFonts w:eastAsia="Times New Roman"/>
                <w:b/>
                <w:bCs/>
                <w:snapToGrid w:val="0"/>
                <w:szCs w:val="20"/>
                <w:lang w:eastAsia="en-US"/>
              </w:rPr>
            </w:pPr>
            <w:r w:rsidRPr="00B1179D">
              <w:rPr>
                <w:rFonts w:eastAsia="Times New Roman"/>
                <w:b/>
                <w:bCs/>
                <w:snapToGrid w:val="0"/>
                <w:szCs w:val="20"/>
                <w:lang w:eastAsia="en-US"/>
              </w:rPr>
              <w:lastRenderedPageBreak/>
              <w:t>3</w:t>
            </w:r>
            <w:r w:rsidR="00744948">
              <w:rPr>
                <w:rFonts w:eastAsia="Times New Roman"/>
                <w:b/>
                <w:bCs/>
                <w:snapToGrid w:val="0"/>
                <w:szCs w:val="20"/>
                <w:lang w:eastAsia="en-US"/>
              </w:rPr>
              <w:t>.</w:t>
            </w:r>
          </w:p>
        </w:tc>
        <w:tc>
          <w:tcPr>
            <w:tcW w:w="1842" w:type="dxa"/>
          </w:tcPr>
          <w:p w14:paraId="339AAD4E" w14:textId="77777777" w:rsidR="00AA6543" w:rsidRPr="00B1179D" w:rsidRDefault="00AA6543" w:rsidP="00744948">
            <w:pPr>
              <w:rPr>
                <w:rFonts w:eastAsia="Times New Roman"/>
                <w:b/>
                <w:bCs/>
                <w:szCs w:val="20"/>
                <w:lang w:eastAsia="en-US"/>
              </w:rPr>
            </w:pPr>
            <w:r w:rsidRPr="00B1179D">
              <w:rPr>
                <w:rFonts w:eastAsia="Times New Roman"/>
                <w:b/>
                <w:bCs/>
                <w:szCs w:val="20"/>
                <w:lang w:eastAsia="en-US"/>
              </w:rPr>
              <w:t>Reasons for action</w:t>
            </w:r>
          </w:p>
        </w:tc>
        <w:tc>
          <w:tcPr>
            <w:tcW w:w="7127" w:type="dxa"/>
          </w:tcPr>
          <w:p w14:paraId="4FF75D08" w14:textId="77777777" w:rsidR="00591F0D" w:rsidRPr="00B1179D" w:rsidRDefault="00591F0D" w:rsidP="00744948">
            <w:pPr>
              <w:rPr>
                <w:rFonts w:eastAsia="Times New Roman"/>
                <w:szCs w:val="20"/>
                <w:lang w:eastAsia="en-US"/>
              </w:rPr>
            </w:pPr>
            <w:r>
              <w:rPr>
                <w:rFonts w:eastAsia="Times New Roman"/>
                <w:szCs w:val="20"/>
                <w:lang w:eastAsia="en-US"/>
              </w:rPr>
              <w:t>T</w:t>
            </w:r>
            <w:r w:rsidRPr="00591F0D">
              <w:rPr>
                <w:rFonts w:eastAsia="Times New Roman"/>
                <w:szCs w:val="20"/>
                <w:lang w:eastAsia="en-US"/>
              </w:rPr>
              <w:t>he final regulatory action has been taken in order to protect human health and the environment and further explain</w:t>
            </w:r>
            <w:r w:rsidR="00C5699E">
              <w:rPr>
                <w:rFonts w:eastAsia="Times New Roman"/>
                <w:szCs w:val="20"/>
                <w:lang w:eastAsia="en-US"/>
              </w:rPr>
              <w:t>s</w:t>
            </w:r>
            <w:r w:rsidRPr="00591F0D">
              <w:rPr>
                <w:rFonts w:eastAsia="Times New Roman"/>
                <w:szCs w:val="20"/>
                <w:lang w:eastAsia="en-US"/>
              </w:rPr>
              <w:t xml:space="preserve"> that mercury is a chemical of global concern owing to its long-range atmospheric transport, its persistence in the environment once anthropogenically introduced, its ability to bioaccumulate in ecosystems and its significant negative effects on the environment and on human health, which include significant adverse neurological and other health effects, with particular concerns expressed about its harmful effects on infants and unborn children. Mercury can be transformed to methylmercury, the most toxic form, which biomagnifies especially in the aquatic food chain, making populations and wildlife with a high intake of fish and seafood particularly vulnerable.</w:t>
            </w:r>
          </w:p>
        </w:tc>
      </w:tr>
      <w:tr w:rsidR="00AA6543" w:rsidRPr="00B1179D" w14:paraId="370C636A" w14:textId="77777777" w:rsidTr="00B1179D">
        <w:tc>
          <w:tcPr>
            <w:tcW w:w="534" w:type="dxa"/>
          </w:tcPr>
          <w:p w14:paraId="504EB92C" w14:textId="77777777" w:rsidR="00AA6543" w:rsidRPr="00B1179D" w:rsidRDefault="00AA6543" w:rsidP="00744948">
            <w:pPr>
              <w:widowControl w:val="0"/>
              <w:rPr>
                <w:rFonts w:eastAsia="Times New Roman"/>
                <w:b/>
                <w:bCs/>
                <w:snapToGrid w:val="0"/>
                <w:szCs w:val="20"/>
                <w:lang w:eastAsia="en-US"/>
              </w:rPr>
            </w:pPr>
            <w:r w:rsidRPr="00B1179D">
              <w:rPr>
                <w:rFonts w:eastAsia="Times New Roman"/>
                <w:b/>
                <w:bCs/>
                <w:snapToGrid w:val="0"/>
                <w:szCs w:val="20"/>
                <w:lang w:eastAsia="en-US"/>
              </w:rPr>
              <w:t>4</w:t>
            </w:r>
            <w:r w:rsidR="00744948">
              <w:rPr>
                <w:rFonts w:eastAsia="Times New Roman"/>
                <w:b/>
                <w:bCs/>
                <w:snapToGrid w:val="0"/>
                <w:szCs w:val="20"/>
                <w:lang w:eastAsia="en-US"/>
              </w:rPr>
              <w:t>.</w:t>
            </w:r>
          </w:p>
        </w:tc>
        <w:tc>
          <w:tcPr>
            <w:tcW w:w="1842" w:type="dxa"/>
          </w:tcPr>
          <w:p w14:paraId="7722A2D9" w14:textId="77777777" w:rsidR="00AA6543" w:rsidRPr="00B1179D" w:rsidRDefault="00AA6543" w:rsidP="00744948">
            <w:pPr>
              <w:rPr>
                <w:rFonts w:eastAsia="Times New Roman"/>
                <w:b/>
                <w:bCs/>
                <w:szCs w:val="20"/>
                <w:lang w:eastAsia="en-US"/>
              </w:rPr>
            </w:pPr>
            <w:r w:rsidRPr="00B1179D">
              <w:rPr>
                <w:rFonts w:eastAsia="Times New Roman"/>
                <w:b/>
                <w:bCs/>
                <w:szCs w:val="20"/>
                <w:lang w:eastAsia="en-US"/>
              </w:rPr>
              <w:t xml:space="preserve">Basis for inclusion into Annex </w:t>
            </w:r>
            <w:smartTag w:uri="urn:schemas-microsoft-com:office:smarttags" w:element="stockticker">
              <w:r w:rsidRPr="00B1179D">
                <w:rPr>
                  <w:rFonts w:eastAsia="Times New Roman"/>
                  <w:b/>
                  <w:bCs/>
                  <w:szCs w:val="20"/>
                  <w:lang w:eastAsia="en-US"/>
                </w:rPr>
                <w:t>III</w:t>
              </w:r>
            </w:smartTag>
          </w:p>
        </w:tc>
        <w:tc>
          <w:tcPr>
            <w:tcW w:w="7127" w:type="dxa"/>
          </w:tcPr>
          <w:p w14:paraId="06CE652F" w14:textId="77777777" w:rsidR="00591F0D" w:rsidRPr="00B1179D" w:rsidRDefault="00591F0D" w:rsidP="00744948">
            <w:pPr>
              <w:rPr>
                <w:rFonts w:eastAsia="Times New Roman"/>
                <w:szCs w:val="20"/>
                <w:lang w:eastAsia="en-US"/>
              </w:rPr>
            </w:pPr>
            <w:r w:rsidRPr="00851634">
              <w:rPr>
                <w:rFonts w:eastAsia="Times New Roman"/>
                <w:szCs w:val="20"/>
                <w:lang w:eastAsia="en-US"/>
              </w:rPr>
              <w:t xml:space="preserve">The final regulatory action was taken to protect human health and the environment. The regulatory action was based on a risk evaluation taking into account the prevailing conditions </w:t>
            </w:r>
            <w:r w:rsidR="00C5699E">
              <w:rPr>
                <w:rFonts w:eastAsia="Times New Roman"/>
                <w:szCs w:val="20"/>
                <w:lang w:eastAsia="en-US"/>
              </w:rPr>
              <w:t xml:space="preserve">of use of mercury </w:t>
            </w:r>
            <w:r w:rsidRPr="00851634">
              <w:rPr>
                <w:rFonts w:eastAsia="Times New Roman"/>
                <w:szCs w:val="20"/>
                <w:lang w:eastAsia="en-US"/>
              </w:rPr>
              <w:t xml:space="preserve">in </w:t>
            </w:r>
            <w:r w:rsidR="00D609EE">
              <w:rPr>
                <w:rFonts w:eastAsia="Times New Roman"/>
                <w:szCs w:val="20"/>
                <w:lang w:eastAsia="en-US"/>
              </w:rPr>
              <w:t>the European Union.</w:t>
            </w:r>
          </w:p>
        </w:tc>
      </w:tr>
      <w:tr w:rsidR="00AA6543" w:rsidRPr="00B1179D" w14:paraId="1B7EC753" w14:textId="77777777" w:rsidTr="00B1179D">
        <w:tc>
          <w:tcPr>
            <w:tcW w:w="534" w:type="dxa"/>
          </w:tcPr>
          <w:p w14:paraId="714E9AD8" w14:textId="77777777" w:rsidR="00AA6543" w:rsidRPr="00B1179D" w:rsidRDefault="00AA6543" w:rsidP="00744948">
            <w:pPr>
              <w:widowControl w:val="0"/>
              <w:rPr>
                <w:rFonts w:eastAsia="Times New Roman"/>
                <w:b/>
                <w:bCs/>
                <w:snapToGrid w:val="0"/>
                <w:szCs w:val="20"/>
                <w:lang w:eastAsia="en-US"/>
              </w:rPr>
            </w:pPr>
            <w:r w:rsidRPr="00B1179D">
              <w:rPr>
                <w:rFonts w:eastAsia="Times New Roman"/>
                <w:b/>
                <w:bCs/>
                <w:snapToGrid w:val="0"/>
                <w:szCs w:val="20"/>
                <w:lang w:eastAsia="en-US"/>
              </w:rPr>
              <w:t>4.1</w:t>
            </w:r>
          </w:p>
        </w:tc>
        <w:tc>
          <w:tcPr>
            <w:tcW w:w="1842" w:type="dxa"/>
          </w:tcPr>
          <w:p w14:paraId="6F97394A" w14:textId="77777777" w:rsidR="00AA6543" w:rsidRPr="00B1179D" w:rsidRDefault="00AA6543" w:rsidP="00744948">
            <w:pPr>
              <w:rPr>
                <w:rFonts w:eastAsia="Times New Roman"/>
                <w:b/>
                <w:szCs w:val="20"/>
                <w:lang w:eastAsia="en-US"/>
              </w:rPr>
            </w:pPr>
            <w:r w:rsidRPr="00B1179D">
              <w:rPr>
                <w:rFonts w:eastAsia="Times New Roman"/>
                <w:b/>
                <w:szCs w:val="20"/>
                <w:lang w:eastAsia="en-US"/>
              </w:rPr>
              <w:t>Risk evaluation</w:t>
            </w:r>
          </w:p>
        </w:tc>
        <w:tc>
          <w:tcPr>
            <w:tcW w:w="7127" w:type="dxa"/>
          </w:tcPr>
          <w:p w14:paraId="177DD095" w14:textId="77777777" w:rsidR="00591F0D" w:rsidRPr="00744948" w:rsidRDefault="00591F0D" w:rsidP="009C513D">
            <w:pPr>
              <w:rPr>
                <w:rFonts w:eastAsia="Times New Roman"/>
                <w:lang w:eastAsia="en-US"/>
              </w:rPr>
            </w:pPr>
            <w:r w:rsidRPr="008B2303">
              <w:t>According to the evaluation related to human health</w:t>
            </w:r>
            <w:r>
              <w:t xml:space="preserve"> and the environment,</w:t>
            </w:r>
            <w:r w:rsidRPr="008B2303">
              <w:t xml:space="preserve"> the following information was identified</w:t>
            </w:r>
            <w:r>
              <w:t xml:space="preserve"> </w:t>
            </w:r>
            <w:r w:rsidRPr="00F80F96">
              <w:t>(UNEP/FAO/RC/CRC.1</w:t>
            </w:r>
            <w:r>
              <w:t>9</w:t>
            </w:r>
            <w:r w:rsidRPr="00F80F96">
              <w:t>/1</w:t>
            </w:r>
            <w:r>
              <w:t xml:space="preserve">1 and </w:t>
            </w:r>
            <w:r w:rsidRPr="00F80F96">
              <w:t>UNEP/FAO/RC/CRC.19/INF/2</w:t>
            </w:r>
            <w:r>
              <w:t>2)</w:t>
            </w:r>
            <w:r w:rsidRPr="008B2303">
              <w:t>:</w:t>
            </w:r>
          </w:p>
          <w:p w14:paraId="50B7B1FB" w14:textId="77777777" w:rsidR="00591F0D" w:rsidRPr="00DD61F0" w:rsidRDefault="00591F0D" w:rsidP="009C513D">
            <w:pPr>
              <w:numPr>
                <w:ilvl w:val="0"/>
                <w:numId w:val="38"/>
              </w:numPr>
              <w:rPr>
                <w:lang w:eastAsia="en-US"/>
              </w:rPr>
            </w:pPr>
            <w:r w:rsidRPr="00DD61F0">
              <w:rPr>
                <w:lang w:eastAsia="en-US"/>
              </w:rPr>
              <w:t>While this risk assessment was conducted in the context of the restriction on mercury-containing measuring devices intended for industrial and professional uses, it includes information on the risks associated with mercury that is not limited to those measuring devices and that could support the other Directives and Regulations that comprise the final regulatory action notified by the European Union</w:t>
            </w:r>
            <w:r w:rsidR="00D9781B">
              <w:rPr>
                <w:lang w:eastAsia="en-US"/>
              </w:rPr>
              <w:t>;</w:t>
            </w:r>
          </w:p>
          <w:p w14:paraId="3233B975" w14:textId="77777777" w:rsidR="00591F0D" w:rsidRPr="00DD61F0" w:rsidRDefault="00591F0D" w:rsidP="009C513D">
            <w:pPr>
              <w:numPr>
                <w:ilvl w:val="0"/>
                <w:numId w:val="38"/>
              </w:numPr>
              <w:rPr>
                <w:lang w:eastAsia="en-US"/>
              </w:rPr>
            </w:pPr>
            <w:r w:rsidRPr="00DD61F0">
              <w:rPr>
                <w:lang w:eastAsia="en-US"/>
              </w:rPr>
              <w:t xml:space="preserve">According to the </w:t>
            </w:r>
            <w:r w:rsidR="004F7C6B">
              <w:rPr>
                <w:lang w:eastAsia="en-US"/>
              </w:rPr>
              <w:t xml:space="preserve">ECHA </w:t>
            </w:r>
            <w:r w:rsidRPr="00DD61F0">
              <w:rPr>
                <w:lang w:eastAsia="en-US"/>
              </w:rPr>
              <w:t xml:space="preserve">Committee for Risk Assessment </w:t>
            </w:r>
            <w:r>
              <w:rPr>
                <w:lang w:eastAsia="en-US"/>
              </w:rPr>
              <w:t>(</w:t>
            </w:r>
            <w:r w:rsidRPr="00DD61F0">
              <w:rPr>
                <w:lang w:eastAsia="en-US"/>
              </w:rPr>
              <w:t>RAC</w:t>
            </w:r>
            <w:r>
              <w:rPr>
                <w:lang w:eastAsia="en-US"/>
              </w:rPr>
              <w:t>)</w:t>
            </w:r>
            <w:r w:rsidRPr="00DD61F0">
              <w:rPr>
                <w:lang w:eastAsia="en-US"/>
              </w:rPr>
              <w:t xml:space="preserve"> </w:t>
            </w:r>
            <w:r>
              <w:rPr>
                <w:lang w:eastAsia="en-US"/>
              </w:rPr>
              <w:t>O</w:t>
            </w:r>
            <w:r w:rsidRPr="00DD61F0">
              <w:rPr>
                <w:lang w:eastAsia="en-US"/>
              </w:rPr>
              <w:t xml:space="preserve">pinion and its background document, mercury and its compounds are highly toxic to humans, ecosystems and wildlife, with amongst others serious chronic irreversible adverse neurotoxic and neurodevelopmental effects. The RAC opinion </w:t>
            </w:r>
            <w:r w:rsidR="00C5699E">
              <w:rPr>
                <w:lang w:eastAsia="en-US"/>
              </w:rPr>
              <w:t>does not explicitly conduct a</w:t>
            </w:r>
            <w:r w:rsidRPr="00DD61F0">
              <w:rPr>
                <w:lang w:eastAsia="en-US"/>
              </w:rPr>
              <w:t xml:space="preserve"> PBT assessment for mercury-methylmercury</w:t>
            </w:r>
            <w:r w:rsidR="00C5699E">
              <w:rPr>
                <w:lang w:eastAsia="en-US"/>
              </w:rPr>
              <w:t>,</w:t>
            </w:r>
            <w:r w:rsidRPr="00DD61F0">
              <w:rPr>
                <w:lang w:eastAsia="en-US"/>
              </w:rPr>
              <w:t xml:space="preserve"> </w:t>
            </w:r>
            <w:r w:rsidR="00C5699E" w:rsidRPr="00C5699E">
              <w:rPr>
                <w:lang w:eastAsia="en-US"/>
              </w:rPr>
              <w:t>but it does note that it should be considered with an equivalent</w:t>
            </w:r>
            <w:r w:rsidRPr="00DD61F0">
              <w:rPr>
                <w:lang w:eastAsia="en-US"/>
              </w:rPr>
              <w:t xml:space="preserve"> level of concern in terms of persistency, due to mercury cycling and methylation versus demethylation rates under anaerobic conditions, as well as the clear potential for bioaccumulation and toxicity identified for methylmercury</w:t>
            </w:r>
            <w:r w:rsidR="00D9781B">
              <w:rPr>
                <w:lang w:eastAsia="en-US"/>
              </w:rPr>
              <w:t>;</w:t>
            </w:r>
          </w:p>
          <w:p w14:paraId="055E9E17" w14:textId="77777777" w:rsidR="00591F0D" w:rsidRPr="00DD61F0" w:rsidRDefault="00591F0D" w:rsidP="009C513D">
            <w:pPr>
              <w:numPr>
                <w:ilvl w:val="0"/>
                <w:numId w:val="38"/>
              </w:numPr>
              <w:rPr>
                <w:lang w:eastAsia="en-US"/>
              </w:rPr>
            </w:pPr>
            <w:r w:rsidRPr="00DD61F0">
              <w:rPr>
                <w:lang w:eastAsia="en-US"/>
              </w:rPr>
              <w:t>The hazard and fate of mercury and its compounds are described in numerous peer-reviewed reports, which were referenced in the Document</w:t>
            </w:r>
            <w:r>
              <w:rPr>
                <w:lang w:eastAsia="en-US"/>
              </w:rPr>
              <w:t>ation provided:</w:t>
            </w:r>
            <w:r w:rsidRPr="00DD61F0">
              <w:rPr>
                <w:lang w:eastAsia="en-US"/>
              </w:rPr>
              <w:t xml:space="preserve"> </w:t>
            </w:r>
          </w:p>
          <w:p w14:paraId="19E39101" w14:textId="77777777" w:rsidR="00591F0D" w:rsidRPr="00DD61F0" w:rsidRDefault="00591F0D" w:rsidP="00756090">
            <w:pPr>
              <w:numPr>
                <w:ilvl w:val="0"/>
                <w:numId w:val="39"/>
              </w:numPr>
              <w:ind w:left="1405" w:hanging="180"/>
              <w:rPr>
                <w:lang w:eastAsia="en-US"/>
              </w:rPr>
            </w:pPr>
            <w:r w:rsidRPr="00DD61F0">
              <w:rPr>
                <w:lang w:eastAsia="en-US"/>
              </w:rPr>
              <w:t>‘Global Mercury Assessment’, published by UNEP in 2002 (and UNEP 2008a and b);</w:t>
            </w:r>
          </w:p>
          <w:p w14:paraId="4A3E9321" w14:textId="77777777" w:rsidR="00591F0D" w:rsidRPr="00DD61F0" w:rsidRDefault="00591F0D" w:rsidP="00756090">
            <w:pPr>
              <w:numPr>
                <w:ilvl w:val="0"/>
                <w:numId w:val="39"/>
              </w:numPr>
              <w:ind w:left="1405" w:hanging="180"/>
              <w:rPr>
                <w:lang w:eastAsia="en-US"/>
              </w:rPr>
            </w:pPr>
            <w:r w:rsidRPr="00DD61F0">
              <w:rPr>
                <w:lang w:eastAsia="en-US"/>
              </w:rPr>
              <w:t>‘Methylmercury’ (WHO, 1990);</w:t>
            </w:r>
          </w:p>
          <w:p w14:paraId="5D9F2291" w14:textId="77777777" w:rsidR="00591F0D" w:rsidRPr="00DD61F0" w:rsidRDefault="00591F0D" w:rsidP="00756090">
            <w:pPr>
              <w:numPr>
                <w:ilvl w:val="0"/>
                <w:numId w:val="39"/>
              </w:numPr>
              <w:ind w:left="1405" w:hanging="180"/>
              <w:rPr>
                <w:lang w:eastAsia="en-US"/>
              </w:rPr>
            </w:pPr>
            <w:r w:rsidRPr="00DD61F0">
              <w:rPr>
                <w:lang w:eastAsia="en-US"/>
              </w:rPr>
              <w:t>‘Risks to Health and the Environment Related to the Use of Mercury Products’ prepared for the Commission by RPA in 2002</w:t>
            </w:r>
            <w:r w:rsidR="00D9781B">
              <w:rPr>
                <w:lang w:eastAsia="en-US"/>
              </w:rPr>
              <w:t>;</w:t>
            </w:r>
          </w:p>
          <w:p w14:paraId="3CFDFCC0" w14:textId="77777777" w:rsidR="00591F0D" w:rsidRPr="00DD61F0" w:rsidRDefault="00591F0D" w:rsidP="009C513D">
            <w:pPr>
              <w:numPr>
                <w:ilvl w:val="0"/>
                <w:numId w:val="38"/>
              </w:numPr>
              <w:rPr>
                <w:lang w:eastAsia="en-US"/>
              </w:rPr>
            </w:pPr>
            <w:r w:rsidRPr="00DD61F0">
              <w:rPr>
                <w:lang w:eastAsia="en-US"/>
              </w:rPr>
              <w:t xml:space="preserve">It is estimated that 3.5–7.6 tonnes of mercury are placed on the market in mercury containing measuring devices in 2010. These amounts are used to estimate the maximum potential for mercury emissions to the environment that might ultimately occur. This assumption is considered appropriate </w:t>
            </w:r>
            <w:r w:rsidRPr="00DD61F0">
              <w:rPr>
                <w:lang w:eastAsia="en-US"/>
              </w:rPr>
              <w:lastRenderedPageBreak/>
              <w:t>because of an estimated low separate collection rate of mercury waste and resulting inadequate waste treatment of a substantial part of the devices. This inappropriate waste collection leads in the long term to a relatively high share of mercury used in these devices being released to the environment. For measuring equipment using mercury (porosimeters, mercury probes used for capacitance-voltage determinations and mercury electrodes used in voltammeters) the total use is 5–15 tonnes per year (mostly porosimeters 5–14 tonnes per year). It should be noted that these figures are the amount of mercury the laboratories purchase and cannot be used to estimate maximum potential for emission as is the case for the measuring equipment containing mercury. To estimate emissions several additional factors need to be considered. These include number of measurements carried out, practices to purify and regenerated used mercury and the risk management measures and operational conditions applied to control the emissions and exposures</w:t>
            </w:r>
            <w:r w:rsidR="00D9781B">
              <w:rPr>
                <w:lang w:eastAsia="en-US"/>
              </w:rPr>
              <w:t>;</w:t>
            </w:r>
          </w:p>
          <w:p w14:paraId="76D6370D" w14:textId="77777777" w:rsidR="00591F0D" w:rsidRPr="00DD61F0" w:rsidRDefault="00591F0D" w:rsidP="009C513D">
            <w:pPr>
              <w:numPr>
                <w:ilvl w:val="0"/>
                <w:numId w:val="38"/>
              </w:numPr>
              <w:rPr>
                <w:lang w:eastAsia="en-US"/>
              </w:rPr>
            </w:pPr>
            <w:r w:rsidRPr="00DD61F0">
              <w:rPr>
                <w:lang w:eastAsia="en-US"/>
              </w:rPr>
              <w:t>The total mercury consumption in Europe was in 2007 estimated to be 320–530 tonnes. 160–190 tonnes of the total amount were used in the chlor-alkali production and 90–110 were used in dental amalgams. The amount used in mercury measuring devices thus equals about 4% of the total, while the restricted devices will be lower due to the large use in porosimeters</w:t>
            </w:r>
            <w:r w:rsidR="00D9781B">
              <w:rPr>
                <w:lang w:eastAsia="en-US"/>
              </w:rPr>
              <w:t>;</w:t>
            </w:r>
          </w:p>
          <w:p w14:paraId="130ADDBE" w14:textId="77777777" w:rsidR="00591F0D" w:rsidRPr="00DD61F0" w:rsidRDefault="00591F0D" w:rsidP="009C513D">
            <w:pPr>
              <w:numPr>
                <w:ilvl w:val="0"/>
                <w:numId w:val="38"/>
              </w:numPr>
              <w:rPr>
                <w:lang w:eastAsia="en-US"/>
              </w:rPr>
            </w:pPr>
            <w:r w:rsidRPr="00DD61F0">
              <w:rPr>
                <w:lang w:eastAsia="en-US"/>
              </w:rPr>
              <w:t>Once released to the environment, mercury persists in the environment, where it circulates between air, water, sediments, soil and biota in various forms. Mercury can be transformed to methylmercury, the most toxic form, which biomagnifies especially in the aquatic food chain, making populations and wildlife with a high intake of fish and seafood particularly vulnerable</w:t>
            </w:r>
            <w:r w:rsidR="00D9781B">
              <w:rPr>
                <w:lang w:eastAsia="en-US"/>
              </w:rPr>
              <w:t>;</w:t>
            </w:r>
          </w:p>
          <w:p w14:paraId="22E98AC8" w14:textId="77777777" w:rsidR="00591F0D" w:rsidRPr="00DD61F0" w:rsidRDefault="00591F0D" w:rsidP="009C513D">
            <w:pPr>
              <w:numPr>
                <w:ilvl w:val="0"/>
                <w:numId w:val="38"/>
              </w:numPr>
              <w:rPr>
                <w:lang w:eastAsia="en-US"/>
              </w:rPr>
            </w:pPr>
            <w:r w:rsidRPr="00DD61F0">
              <w:rPr>
                <w:lang w:eastAsia="en-US"/>
              </w:rPr>
              <w:t>Several existing pieces of legislation in the European Union abate the risks arising from mercury in different stages of the life cycle of measuring devices. However, none of the measures currently in place is sufficient to remove the concern fully, although there is a difference between their observed effectiveness with regard to measuring devices containing mercury and measuring devices using mercury</w:t>
            </w:r>
            <w:r w:rsidR="00D9781B">
              <w:rPr>
                <w:lang w:eastAsia="en-US"/>
              </w:rPr>
              <w:t>;</w:t>
            </w:r>
          </w:p>
          <w:p w14:paraId="747DDC71" w14:textId="77777777" w:rsidR="00AA6543" w:rsidRPr="00744948" w:rsidRDefault="00591F0D" w:rsidP="009C513D">
            <w:pPr>
              <w:numPr>
                <w:ilvl w:val="0"/>
                <w:numId w:val="38"/>
              </w:numPr>
              <w:rPr>
                <w:i/>
                <w:lang w:eastAsia="en-US"/>
              </w:rPr>
            </w:pPr>
            <w:r w:rsidRPr="00DD61F0">
              <w:rPr>
                <w:lang w:eastAsia="en-US"/>
              </w:rPr>
              <w:t>The emissions from mercury measuring devices, although relatively small, contribute to the overall emissions of mercury to the environment and thereby also to the exposure of species and of humans via the environment. Therefore, measuring devices containing or using mercury are of concern</w:t>
            </w:r>
            <w:r>
              <w:rPr>
                <w:lang w:eastAsia="en-US"/>
              </w:rPr>
              <w:t>.</w:t>
            </w:r>
          </w:p>
        </w:tc>
      </w:tr>
      <w:tr w:rsidR="00851634" w:rsidRPr="00B1179D" w14:paraId="5DE8FDD0" w14:textId="77777777" w:rsidTr="00B1179D">
        <w:tc>
          <w:tcPr>
            <w:tcW w:w="534" w:type="dxa"/>
          </w:tcPr>
          <w:p w14:paraId="69B180C2" w14:textId="77777777" w:rsidR="00851634" w:rsidRPr="00B1179D" w:rsidRDefault="00851634" w:rsidP="00744948">
            <w:pPr>
              <w:rPr>
                <w:rFonts w:eastAsia="Times New Roman"/>
                <w:b/>
                <w:bCs/>
                <w:snapToGrid w:val="0"/>
                <w:szCs w:val="20"/>
                <w:lang w:eastAsia="en-US"/>
              </w:rPr>
            </w:pPr>
            <w:r w:rsidRPr="00B1179D">
              <w:rPr>
                <w:rFonts w:eastAsia="Times New Roman"/>
                <w:b/>
                <w:bCs/>
                <w:snapToGrid w:val="0"/>
                <w:szCs w:val="20"/>
                <w:lang w:eastAsia="en-US"/>
              </w:rPr>
              <w:lastRenderedPageBreak/>
              <w:t>4.2</w:t>
            </w:r>
          </w:p>
        </w:tc>
        <w:tc>
          <w:tcPr>
            <w:tcW w:w="1842" w:type="dxa"/>
          </w:tcPr>
          <w:p w14:paraId="59A588DD" w14:textId="77777777" w:rsidR="00851634" w:rsidRPr="00B1179D" w:rsidRDefault="00851634" w:rsidP="00744948">
            <w:pPr>
              <w:rPr>
                <w:rFonts w:eastAsia="Times New Roman"/>
                <w:b/>
                <w:szCs w:val="20"/>
                <w:lang w:eastAsia="en-US"/>
              </w:rPr>
            </w:pPr>
            <w:r w:rsidRPr="00B1179D">
              <w:rPr>
                <w:rFonts w:eastAsia="Times New Roman"/>
                <w:b/>
                <w:szCs w:val="20"/>
                <w:lang w:eastAsia="en-US"/>
              </w:rPr>
              <w:t>Criteria used</w:t>
            </w:r>
          </w:p>
        </w:tc>
        <w:tc>
          <w:tcPr>
            <w:tcW w:w="7127" w:type="dxa"/>
          </w:tcPr>
          <w:p w14:paraId="3E805FD3" w14:textId="77777777" w:rsidR="00C93876" w:rsidRPr="00B1179D" w:rsidRDefault="00851634" w:rsidP="00744948">
            <w:pPr>
              <w:rPr>
                <w:rFonts w:eastAsia="Times New Roman"/>
                <w:iCs/>
                <w:szCs w:val="20"/>
                <w:lang w:eastAsia="en-US"/>
              </w:rPr>
            </w:pPr>
            <w:r w:rsidRPr="00851634">
              <w:rPr>
                <w:rFonts w:eastAsia="Times New Roman"/>
                <w:iCs/>
                <w:szCs w:val="20"/>
                <w:lang w:eastAsia="en-US"/>
              </w:rPr>
              <w:t>Risks to human health and the environment</w:t>
            </w:r>
          </w:p>
        </w:tc>
      </w:tr>
      <w:tr w:rsidR="00851634" w:rsidRPr="00B1179D" w14:paraId="54F36701" w14:textId="77777777" w:rsidTr="00B1179D">
        <w:tc>
          <w:tcPr>
            <w:tcW w:w="534" w:type="dxa"/>
          </w:tcPr>
          <w:p w14:paraId="4E5DFE70" w14:textId="77777777" w:rsidR="00851634" w:rsidRPr="00B1179D" w:rsidRDefault="00851634" w:rsidP="00744948">
            <w:pPr>
              <w:widowControl w:val="0"/>
              <w:rPr>
                <w:rFonts w:eastAsia="Times New Roman"/>
                <w:b/>
                <w:bCs/>
                <w:snapToGrid w:val="0"/>
                <w:szCs w:val="20"/>
                <w:lang w:eastAsia="en-US"/>
              </w:rPr>
            </w:pPr>
          </w:p>
        </w:tc>
        <w:tc>
          <w:tcPr>
            <w:tcW w:w="1842" w:type="dxa"/>
          </w:tcPr>
          <w:p w14:paraId="06F6DB6B" w14:textId="77777777" w:rsidR="00851634" w:rsidRPr="00B1179D" w:rsidRDefault="00851634" w:rsidP="00744948">
            <w:pPr>
              <w:rPr>
                <w:rFonts w:eastAsia="Times New Roman"/>
                <w:b/>
                <w:szCs w:val="20"/>
                <w:lang w:eastAsia="en-US"/>
              </w:rPr>
            </w:pPr>
            <w:r w:rsidRPr="00B1179D">
              <w:rPr>
                <w:rFonts w:eastAsia="Times New Roman"/>
                <w:b/>
                <w:szCs w:val="20"/>
                <w:lang w:eastAsia="en-US"/>
              </w:rPr>
              <w:t>Relevance to other States and Region</w:t>
            </w:r>
          </w:p>
        </w:tc>
        <w:tc>
          <w:tcPr>
            <w:tcW w:w="7127" w:type="dxa"/>
          </w:tcPr>
          <w:p w14:paraId="474C4B59" w14:textId="77777777" w:rsidR="00591F0D" w:rsidRPr="00B1179D" w:rsidRDefault="00591F0D" w:rsidP="00744948">
            <w:pPr>
              <w:rPr>
                <w:rFonts w:eastAsia="Times New Roman"/>
                <w:szCs w:val="20"/>
                <w:lang w:eastAsia="en-US"/>
              </w:rPr>
            </w:pPr>
            <w:r>
              <w:rPr>
                <w:rFonts w:eastAsia="Times New Roman"/>
                <w:szCs w:val="20"/>
                <w:lang w:eastAsia="en-US"/>
              </w:rPr>
              <w:t>T</w:t>
            </w:r>
            <w:r w:rsidRPr="00591F0D">
              <w:rPr>
                <w:rFonts w:eastAsia="Times New Roman"/>
                <w:szCs w:val="20"/>
                <w:lang w:eastAsia="en-US"/>
              </w:rPr>
              <w:t>he notification states that similar human health and environmental problems are likely to be encountered in other regions where the substance is used, particularly in developing countries and especially for women and children, and, through them, future generations.</w:t>
            </w:r>
          </w:p>
        </w:tc>
      </w:tr>
      <w:tr w:rsidR="00851634" w:rsidRPr="00B1179D" w14:paraId="35D11266" w14:textId="77777777" w:rsidTr="00B1179D">
        <w:tc>
          <w:tcPr>
            <w:tcW w:w="534" w:type="dxa"/>
          </w:tcPr>
          <w:p w14:paraId="18C36AC1" w14:textId="77777777" w:rsidR="00851634" w:rsidRPr="00B1179D" w:rsidRDefault="00851634" w:rsidP="00744948">
            <w:pPr>
              <w:widowControl w:val="0"/>
              <w:rPr>
                <w:rFonts w:eastAsia="Times New Roman"/>
                <w:b/>
                <w:bCs/>
                <w:snapToGrid w:val="0"/>
                <w:szCs w:val="20"/>
                <w:lang w:eastAsia="en-US"/>
              </w:rPr>
            </w:pPr>
            <w:r w:rsidRPr="00B1179D">
              <w:rPr>
                <w:rFonts w:eastAsia="Times New Roman"/>
                <w:b/>
                <w:bCs/>
                <w:snapToGrid w:val="0"/>
                <w:szCs w:val="20"/>
                <w:lang w:eastAsia="en-US"/>
              </w:rPr>
              <w:t>5</w:t>
            </w:r>
            <w:r w:rsidR="00744948">
              <w:rPr>
                <w:rFonts w:eastAsia="Times New Roman"/>
                <w:b/>
                <w:bCs/>
                <w:snapToGrid w:val="0"/>
                <w:szCs w:val="20"/>
                <w:lang w:eastAsia="en-US"/>
              </w:rPr>
              <w:t>.</w:t>
            </w:r>
          </w:p>
        </w:tc>
        <w:tc>
          <w:tcPr>
            <w:tcW w:w="1842" w:type="dxa"/>
          </w:tcPr>
          <w:p w14:paraId="1BE33C57" w14:textId="77777777" w:rsidR="00851634" w:rsidRPr="00B1179D" w:rsidRDefault="00851634" w:rsidP="00744948">
            <w:pPr>
              <w:rPr>
                <w:rFonts w:eastAsia="Times New Roman"/>
                <w:b/>
                <w:bCs/>
                <w:szCs w:val="20"/>
                <w:lang w:eastAsia="en-US"/>
              </w:rPr>
            </w:pPr>
            <w:r w:rsidRPr="00B1179D">
              <w:rPr>
                <w:rFonts w:eastAsia="Times New Roman"/>
                <w:b/>
                <w:bCs/>
                <w:szCs w:val="20"/>
                <w:lang w:eastAsia="en-US"/>
              </w:rPr>
              <w:t>Alternatives</w:t>
            </w:r>
          </w:p>
        </w:tc>
        <w:tc>
          <w:tcPr>
            <w:tcW w:w="7127" w:type="dxa"/>
          </w:tcPr>
          <w:p w14:paraId="778EA15B" w14:textId="77777777" w:rsidR="00591F0D" w:rsidRPr="00B1179D" w:rsidRDefault="00851634" w:rsidP="00744948">
            <w:pPr>
              <w:rPr>
                <w:rFonts w:eastAsia="Times New Roman"/>
                <w:szCs w:val="20"/>
                <w:lang w:eastAsia="en-US"/>
              </w:rPr>
            </w:pPr>
            <w:r>
              <w:rPr>
                <w:rFonts w:eastAsia="Times New Roman"/>
                <w:szCs w:val="20"/>
                <w:lang w:eastAsia="en-US"/>
              </w:rPr>
              <w:t>None reported</w:t>
            </w:r>
            <w:r w:rsidR="006726FE">
              <w:rPr>
                <w:rFonts w:eastAsia="Times New Roman"/>
                <w:szCs w:val="20"/>
                <w:lang w:eastAsia="en-US"/>
              </w:rPr>
              <w:t>.</w:t>
            </w:r>
          </w:p>
        </w:tc>
      </w:tr>
      <w:tr w:rsidR="00851634" w:rsidRPr="00B1179D" w14:paraId="62479789" w14:textId="77777777" w:rsidTr="00B1179D">
        <w:tc>
          <w:tcPr>
            <w:tcW w:w="534" w:type="dxa"/>
          </w:tcPr>
          <w:p w14:paraId="30BBB417" w14:textId="77777777" w:rsidR="00851634" w:rsidRPr="00B1179D" w:rsidRDefault="00851634" w:rsidP="00744948">
            <w:pPr>
              <w:widowControl w:val="0"/>
              <w:rPr>
                <w:rFonts w:eastAsia="Times New Roman"/>
                <w:b/>
                <w:bCs/>
                <w:snapToGrid w:val="0"/>
                <w:szCs w:val="20"/>
                <w:lang w:eastAsia="en-US"/>
              </w:rPr>
            </w:pPr>
            <w:r w:rsidRPr="00B1179D">
              <w:rPr>
                <w:rFonts w:eastAsia="Times New Roman"/>
                <w:b/>
                <w:bCs/>
                <w:snapToGrid w:val="0"/>
                <w:szCs w:val="20"/>
                <w:lang w:eastAsia="en-US"/>
              </w:rPr>
              <w:t>6</w:t>
            </w:r>
            <w:r w:rsidR="00744948">
              <w:rPr>
                <w:rFonts w:eastAsia="Times New Roman"/>
                <w:b/>
                <w:bCs/>
                <w:snapToGrid w:val="0"/>
                <w:szCs w:val="20"/>
                <w:lang w:eastAsia="en-US"/>
              </w:rPr>
              <w:t>.</w:t>
            </w:r>
          </w:p>
        </w:tc>
        <w:tc>
          <w:tcPr>
            <w:tcW w:w="1842" w:type="dxa"/>
          </w:tcPr>
          <w:p w14:paraId="2BF89273" w14:textId="77777777" w:rsidR="00591F0D" w:rsidRPr="00B1179D" w:rsidRDefault="00851634" w:rsidP="00744948">
            <w:pPr>
              <w:rPr>
                <w:rFonts w:eastAsia="Times New Roman"/>
                <w:b/>
                <w:bCs/>
                <w:szCs w:val="20"/>
                <w:lang w:eastAsia="en-US"/>
              </w:rPr>
            </w:pPr>
            <w:r w:rsidRPr="00B1179D">
              <w:rPr>
                <w:rFonts w:eastAsia="Times New Roman"/>
                <w:b/>
                <w:bCs/>
                <w:szCs w:val="20"/>
                <w:lang w:eastAsia="en-US"/>
              </w:rPr>
              <w:t>Waste management</w:t>
            </w:r>
          </w:p>
        </w:tc>
        <w:tc>
          <w:tcPr>
            <w:tcW w:w="7127" w:type="dxa"/>
          </w:tcPr>
          <w:p w14:paraId="7A17132D" w14:textId="77777777" w:rsidR="00136204" w:rsidRPr="00B1179D" w:rsidRDefault="00136204" w:rsidP="00744948">
            <w:pPr>
              <w:widowControl w:val="0"/>
              <w:rPr>
                <w:rFonts w:eastAsia="Times New Roman"/>
                <w:snapToGrid w:val="0"/>
                <w:szCs w:val="20"/>
                <w:lang w:eastAsia="en-US"/>
              </w:rPr>
            </w:pPr>
            <w:r w:rsidRPr="00136204">
              <w:rPr>
                <w:rFonts w:eastAsia="Times New Roman"/>
                <w:snapToGrid w:val="0"/>
                <w:szCs w:val="20"/>
                <w:lang w:eastAsia="en-US"/>
              </w:rPr>
              <w:t>Regulation (EU) 2017/852 on mercury was adopted in May 2017. This regulation complements the European Union acquis and lays down the provisions that are needed to ensure the complete alignment of the European Union acquis with the Minamata Convention on Mercury establishing measures and conditions concerning the use and storage of and trade in mercury, mercury compounds and mixtures of mercury, and the manufacture and use of and trade in mercury-added products, and the management of mercury waste</w:t>
            </w:r>
            <w:r>
              <w:rPr>
                <w:rFonts w:eastAsia="Times New Roman"/>
                <w:snapToGrid w:val="0"/>
                <w:szCs w:val="20"/>
                <w:lang w:eastAsia="en-US"/>
              </w:rPr>
              <w:t>.</w:t>
            </w:r>
          </w:p>
        </w:tc>
      </w:tr>
      <w:tr w:rsidR="00851634" w:rsidRPr="00B1179D" w14:paraId="09169F8E" w14:textId="77777777" w:rsidTr="00B1179D">
        <w:tc>
          <w:tcPr>
            <w:tcW w:w="534" w:type="dxa"/>
          </w:tcPr>
          <w:p w14:paraId="6F8D5C13" w14:textId="77777777" w:rsidR="00851634" w:rsidRPr="00B1179D" w:rsidRDefault="00851634" w:rsidP="00744948">
            <w:pPr>
              <w:widowControl w:val="0"/>
              <w:rPr>
                <w:rFonts w:eastAsia="Times New Roman"/>
                <w:b/>
                <w:bCs/>
                <w:snapToGrid w:val="0"/>
                <w:szCs w:val="20"/>
                <w:lang w:eastAsia="en-US"/>
              </w:rPr>
            </w:pPr>
            <w:r w:rsidRPr="00B1179D">
              <w:rPr>
                <w:rFonts w:eastAsia="Times New Roman"/>
                <w:b/>
                <w:bCs/>
                <w:snapToGrid w:val="0"/>
                <w:szCs w:val="20"/>
                <w:lang w:eastAsia="en-US"/>
              </w:rPr>
              <w:t>7</w:t>
            </w:r>
            <w:r w:rsidR="00744948">
              <w:rPr>
                <w:rFonts w:eastAsia="Times New Roman"/>
                <w:b/>
                <w:bCs/>
                <w:snapToGrid w:val="0"/>
                <w:szCs w:val="20"/>
                <w:lang w:eastAsia="en-US"/>
              </w:rPr>
              <w:t>.</w:t>
            </w:r>
          </w:p>
        </w:tc>
        <w:tc>
          <w:tcPr>
            <w:tcW w:w="1842" w:type="dxa"/>
          </w:tcPr>
          <w:p w14:paraId="1D124808" w14:textId="77777777" w:rsidR="00851634" w:rsidRPr="00B1179D" w:rsidRDefault="00851634" w:rsidP="00744948">
            <w:pPr>
              <w:ind w:left="288" w:hanging="288"/>
              <w:rPr>
                <w:rFonts w:eastAsia="Times New Roman"/>
                <w:b/>
                <w:snapToGrid w:val="0"/>
                <w:szCs w:val="20"/>
                <w:lang w:eastAsia="en-US"/>
              </w:rPr>
            </w:pPr>
            <w:r w:rsidRPr="00B1179D">
              <w:rPr>
                <w:rFonts w:eastAsia="Times New Roman"/>
                <w:b/>
                <w:szCs w:val="20"/>
                <w:lang w:eastAsia="en-US"/>
              </w:rPr>
              <w:t>Other</w:t>
            </w:r>
          </w:p>
        </w:tc>
        <w:tc>
          <w:tcPr>
            <w:tcW w:w="7127" w:type="dxa"/>
          </w:tcPr>
          <w:p w14:paraId="61620996" w14:textId="77777777" w:rsidR="00851634" w:rsidRPr="00B1179D" w:rsidRDefault="00851634" w:rsidP="00744948">
            <w:pPr>
              <w:tabs>
                <w:tab w:val="left" w:pos="720"/>
                <w:tab w:val="center" w:pos="4320"/>
                <w:tab w:val="right" w:pos="8640"/>
              </w:tabs>
              <w:rPr>
                <w:rFonts w:eastAsia="Times New Roman"/>
                <w:snapToGrid w:val="0"/>
                <w:szCs w:val="20"/>
                <w:lang w:eastAsia="en-US"/>
              </w:rPr>
            </w:pPr>
            <w:r>
              <w:rPr>
                <w:rFonts w:eastAsia="Times New Roman"/>
                <w:snapToGrid w:val="0"/>
                <w:szCs w:val="20"/>
                <w:lang w:eastAsia="en-US"/>
              </w:rPr>
              <w:t>None reported</w:t>
            </w:r>
            <w:r w:rsidR="006726FE">
              <w:rPr>
                <w:rFonts w:eastAsia="Times New Roman"/>
                <w:snapToGrid w:val="0"/>
                <w:szCs w:val="20"/>
                <w:lang w:eastAsia="en-US"/>
              </w:rPr>
              <w:t>.</w:t>
            </w:r>
          </w:p>
        </w:tc>
      </w:tr>
    </w:tbl>
    <w:p w14:paraId="43F3B8D1" w14:textId="77777777" w:rsidR="00AA6543" w:rsidRDefault="00AA6543" w:rsidP="006726FE">
      <w:pPr>
        <w:pStyle w:val="Heading1"/>
      </w:pPr>
      <w:r w:rsidRPr="00AA6543">
        <w:rPr>
          <w:sz w:val="20"/>
          <w:szCs w:val="20"/>
        </w:rPr>
        <w:br w:type="page"/>
      </w:r>
      <w:bookmarkStart w:id="27" w:name="_Toc154010828"/>
      <w:r w:rsidR="006726FE" w:rsidRPr="00B1179D">
        <w:lastRenderedPageBreak/>
        <w:t>Annex 3</w:t>
      </w:r>
      <w:r w:rsidR="006726FE">
        <w:t xml:space="preserve">: </w:t>
      </w:r>
      <w:r w:rsidR="006726FE" w:rsidRPr="00B1179D">
        <w:t>Addresses of designated national authorities</w:t>
      </w:r>
      <w:bookmarkEnd w:id="27"/>
    </w:p>
    <w:p w14:paraId="78060689" w14:textId="77777777" w:rsidR="00886DE7" w:rsidRPr="00AA6543" w:rsidRDefault="00886DE7" w:rsidP="008B550E">
      <w:pPr>
        <w:pStyle w:val="Heading3"/>
        <w:rPr>
          <w:sz w:val="10"/>
          <w:szCs w:val="10"/>
        </w:rPr>
      </w:pPr>
      <w:r>
        <w:t>Colombia</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2"/>
        <w:gridCol w:w="4103"/>
      </w:tblGrid>
      <w:tr w:rsidR="00132D3A" w:rsidRPr="00610CB3" w14:paraId="67E6A898" w14:textId="77777777" w:rsidTr="00D9781B">
        <w:trPr>
          <w:cantSplit/>
        </w:trPr>
        <w:tc>
          <w:tcPr>
            <w:tcW w:w="5292" w:type="dxa"/>
          </w:tcPr>
          <w:p w14:paraId="1A35A318" w14:textId="77777777" w:rsidR="00132D3A" w:rsidRPr="003C73D5" w:rsidRDefault="00132D3A" w:rsidP="00132D3A">
            <w:pPr>
              <w:pStyle w:val="Normal-pool-Table"/>
              <w:rPr>
                <w:sz w:val="20"/>
                <w:lang w:val="en-GB"/>
              </w:rPr>
            </w:pPr>
            <w:r w:rsidRPr="003C73D5">
              <w:rPr>
                <w:sz w:val="20"/>
                <w:lang w:val="en-GB"/>
              </w:rPr>
              <w:t>Rotterdam Convention Designated national authority for</w:t>
            </w:r>
            <w:r>
              <w:rPr>
                <w:sz w:val="20"/>
                <w:lang w:val="en-GB"/>
              </w:rPr>
              <w:t xml:space="preserve"> industrial chemicals</w:t>
            </w:r>
            <w:r w:rsidRPr="003C73D5">
              <w:rPr>
                <w:sz w:val="20"/>
                <w:lang w:val="en-GB"/>
              </w:rPr>
              <w:t xml:space="preserve"> (DNA </w:t>
            </w:r>
            <w:r>
              <w:rPr>
                <w:sz w:val="20"/>
                <w:lang w:val="en-GB"/>
              </w:rPr>
              <w:t>C</w:t>
            </w:r>
            <w:r w:rsidRPr="003C73D5">
              <w:rPr>
                <w:sz w:val="20"/>
                <w:lang w:val="en-GB"/>
              </w:rPr>
              <w:t>)</w:t>
            </w:r>
          </w:p>
          <w:p w14:paraId="16BE83CC" w14:textId="77777777" w:rsidR="00132D3A" w:rsidRPr="003C73D5" w:rsidRDefault="00132D3A" w:rsidP="00132D3A">
            <w:pPr>
              <w:pStyle w:val="Normal-pool-Table"/>
              <w:rPr>
                <w:sz w:val="20"/>
                <w:lang w:val="en-GB"/>
              </w:rPr>
            </w:pPr>
          </w:p>
          <w:p w14:paraId="25D2E5CE" w14:textId="77777777" w:rsidR="00132D3A" w:rsidRPr="002907B7" w:rsidRDefault="00132D3A" w:rsidP="00132D3A">
            <w:pPr>
              <w:pStyle w:val="Normal-pool-Table"/>
              <w:rPr>
                <w:sz w:val="20"/>
                <w:lang w:val="en-GB"/>
              </w:rPr>
            </w:pPr>
            <w:r w:rsidRPr="00886DE7">
              <w:rPr>
                <w:b/>
                <w:bCs/>
                <w:sz w:val="20"/>
                <w:lang w:val="en-GB"/>
              </w:rPr>
              <w:t>Name:</w:t>
            </w:r>
            <w:r w:rsidRPr="002907B7">
              <w:rPr>
                <w:sz w:val="20"/>
                <w:lang w:val="en-GB"/>
              </w:rPr>
              <w:t xml:space="preserve"> Ms. Andrea Patricia Soler Galindo</w:t>
            </w:r>
          </w:p>
          <w:p w14:paraId="26C6C842" w14:textId="77777777" w:rsidR="00132D3A" w:rsidRPr="00BC41A7" w:rsidRDefault="00132D3A" w:rsidP="00132D3A">
            <w:pPr>
              <w:pStyle w:val="Normal-pool-Table"/>
              <w:rPr>
                <w:sz w:val="20"/>
                <w:lang w:val="en-GB"/>
              </w:rPr>
            </w:pPr>
            <w:r w:rsidRPr="00886DE7">
              <w:rPr>
                <w:b/>
                <w:bCs/>
                <w:sz w:val="20"/>
                <w:lang w:val="en-GB"/>
              </w:rPr>
              <w:t>Job title:</w:t>
            </w:r>
            <w:r w:rsidRPr="002907B7">
              <w:rPr>
                <w:sz w:val="20"/>
                <w:lang w:val="en-GB"/>
              </w:rPr>
              <w:t xml:space="preserve"> </w:t>
            </w:r>
            <w:proofErr w:type="spellStart"/>
            <w:r w:rsidRPr="00BC41A7">
              <w:rPr>
                <w:sz w:val="20"/>
                <w:lang w:val="en-GB"/>
              </w:rPr>
              <w:t>Coordinadora</w:t>
            </w:r>
            <w:proofErr w:type="spellEnd"/>
            <w:r w:rsidRPr="00BC41A7">
              <w:rPr>
                <w:sz w:val="20"/>
                <w:lang w:val="en-GB"/>
              </w:rPr>
              <w:t xml:space="preserve"> Grupo Desarrollo y Salud</w:t>
            </w:r>
          </w:p>
          <w:p w14:paraId="32FD5D33" w14:textId="77777777" w:rsidR="00132D3A" w:rsidRPr="00BC41A7" w:rsidRDefault="00132D3A" w:rsidP="00132D3A">
            <w:pPr>
              <w:pStyle w:val="Normal-pool-Table"/>
              <w:rPr>
                <w:sz w:val="20"/>
                <w:lang w:val="en-GB"/>
              </w:rPr>
            </w:pPr>
            <w:r w:rsidRPr="00886DE7">
              <w:rPr>
                <w:b/>
                <w:bCs/>
                <w:sz w:val="20"/>
                <w:lang w:val="en-GB"/>
              </w:rPr>
              <w:t>Department:</w:t>
            </w:r>
            <w:r w:rsidRPr="00BC41A7">
              <w:rPr>
                <w:sz w:val="20"/>
                <w:lang w:val="en-GB"/>
              </w:rPr>
              <w:t xml:space="preserve"> </w:t>
            </w:r>
            <w:proofErr w:type="spellStart"/>
            <w:r w:rsidRPr="00BC41A7">
              <w:rPr>
                <w:sz w:val="20"/>
                <w:lang w:val="en-GB"/>
              </w:rPr>
              <w:t>Subdirección</w:t>
            </w:r>
            <w:proofErr w:type="spellEnd"/>
            <w:r w:rsidRPr="00BC41A7">
              <w:rPr>
                <w:sz w:val="20"/>
                <w:lang w:val="en-GB"/>
              </w:rPr>
              <w:t xml:space="preserve"> de Salud Ambiental</w:t>
            </w:r>
          </w:p>
          <w:p w14:paraId="3CED4378" w14:textId="77777777" w:rsidR="00132D3A" w:rsidRPr="00132D3A" w:rsidRDefault="00132D3A" w:rsidP="00132D3A">
            <w:pPr>
              <w:tabs>
                <w:tab w:val="left" w:pos="-720"/>
                <w:tab w:val="left" w:pos="0"/>
                <w:tab w:val="left" w:pos="720"/>
              </w:tabs>
              <w:suppressAutoHyphens/>
              <w:rPr>
                <w:rFonts w:eastAsia="Times New Roman"/>
                <w:b/>
                <w:szCs w:val="10"/>
                <w:lang w:eastAsia="en-US"/>
              </w:rPr>
            </w:pPr>
            <w:r w:rsidRPr="00886DE7">
              <w:rPr>
                <w:b/>
                <w:bCs/>
              </w:rPr>
              <w:t>Institution:</w:t>
            </w:r>
            <w:r w:rsidRPr="00BC41A7">
              <w:t xml:space="preserve"> Ministerio de Salud y </w:t>
            </w:r>
            <w:proofErr w:type="spellStart"/>
            <w:r w:rsidRPr="00BC41A7">
              <w:t>Protección</w:t>
            </w:r>
            <w:proofErr w:type="spellEnd"/>
            <w:r w:rsidRPr="00BC41A7">
              <w:t xml:space="preserve"> Social</w:t>
            </w:r>
          </w:p>
        </w:tc>
        <w:tc>
          <w:tcPr>
            <w:tcW w:w="4103" w:type="dxa"/>
          </w:tcPr>
          <w:p w14:paraId="7542398B" w14:textId="77777777" w:rsidR="00132D3A" w:rsidRPr="002023BC" w:rsidRDefault="00132D3A" w:rsidP="00132D3A">
            <w:pPr>
              <w:pStyle w:val="Normal-pool-Table"/>
              <w:rPr>
                <w:sz w:val="20"/>
                <w:lang w:val="it-IT"/>
              </w:rPr>
            </w:pPr>
            <w:r w:rsidRPr="00886DE7">
              <w:rPr>
                <w:b/>
                <w:bCs/>
                <w:sz w:val="20"/>
                <w:lang w:val="it-IT"/>
              </w:rPr>
              <w:t>Postal address:</w:t>
            </w:r>
            <w:r w:rsidRPr="002023BC">
              <w:rPr>
                <w:sz w:val="20"/>
                <w:lang w:val="it-IT"/>
              </w:rPr>
              <w:t xml:space="preserve"> Carrera 13 # 32 - 76 Piso 14, Edificio Urano</w:t>
            </w:r>
          </w:p>
          <w:p w14:paraId="08A6795E" w14:textId="77777777" w:rsidR="00132D3A" w:rsidRPr="002023BC" w:rsidRDefault="00132D3A" w:rsidP="00132D3A">
            <w:pPr>
              <w:pStyle w:val="Normal-pool-Table"/>
              <w:rPr>
                <w:sz w:val="20"/>
                <w:lang w:val="en-GB"/>
              </w:rPr>
            </w:pPr>
            <w:r w:rsidRPr="002023BC">
              <w:rPr>
                <w:sz w:val="20"/>
                <w:lang w:val="en-GB"/>
              </w:rPr>
              <w:t>Bogotá D.C.</w:t>
            </w:r>
          </w:p>
          <w:p w14:paraId="758AC5F7" w14:textId="77777777" w:rsidR="00132D3A" w:rsidRPr="002023BC" w:rsidRDefault="00132D3A" w:rsidP="00132D3A">
            <w:pPr>
              <w:pStyle w:val="Normal-pool-Table"/>
              <w:rPr>
                <w:sz w:val="20"/>
                <w:lang w:val="en-GB"/>
              </w:rPr>
            </w:pPr>
            <w:r w:rsidRPr="002023BC">
              <w:rPr>
                <w:sz w:val="20"/>
                <w:lang w:val="en-GB"/>
              </w:rPr>
              <w:t>Colombia</w:t>
            </w:r>
          </w:p>
          <w:p w14:paraId="67D9851F" w14:textId="77777777" w:rsidR="00132D3A" w:rsidRPr="002023BC" w:rsidRDefault="00132D3A" w:rsidP="00132D3A">
            <w:pPr>
              <w:pStyle w:val="Normal-pool-Table"/>
              <w:rPr>
                <w:sz w:val="20"/>
                <w:lang w:val="en-GB"/>
              </w:rPr>
            </w:pPr>
            <w:r w:rsidRPr="00886DE7">
              <w:rPr>
                <w:b/>
                <w:bCs/>
                <w:sz w:val="20"/>
                <w:lang w:val="en-GB"/>
              </w:rPr>
              <w:t>Phone:</w:t>
            </w:r>
            <w:r w:rsidRPr="002023BC">
              <w:rPr>
                <w:sz w:val="20"/>
                <w:lang w:val="en-GB"/>
              </w:rPr>
              <w:t xml:space="preserve"> +57 1 330 5000 ext. 1241</w:t>
            </w:r>
          </w:p>
          <w:p w14:paraId="1ED4E1C9" w14:textId="77777777" w:rsidR="00132D3A" w:rsidRPr="00610CB3" w:rsidRDefault="00132D3A" w:rsidP="00132D3A">
            <w:pPr>
              <w:rPr>
                <w:rFonts w:eastAsia="Times New Roman"/>
                <w:szCs w:val="20"/>
                <w:lang w:val="it-IT" w:eastAsia="en-US"/>
              </w:rPr>
            </w:pPr>
            <w:r w:rsidRPr="00886DE7">
              <w:rPr>
                <w:b/>
                <w:bCs/>
              </w:rPr>
              <w:t>Email:</w:t>
            </w:r>
            <w:r w:rsidRPr="002023BC">
              <w:t xml:space="preserve"> asoler@minsalud.gov.co</w:t>
            </w:r>
            <w:r w:rsidR="006726FE">
              <w:t>;</w:t>
            </w:r>
            <w:r w:rsidRPr="002023BC">
              <w:t xml:space="preserve"> jhernandez@minsalud.gov.c</w:t>
            </w:r>
            <w:r>
              <w:t>o</w:t>
            </w:r>
          </w:p>
        </w:tc>
      </w:tr>
    </w:tbl>
    <w:p w14:paraId="16DEC17D" w14:textId="77777777" w:rsidR="00AA6543" w:rsidRDefault="00AA6543" w:rsidP="00AA6543">
      <w:pPr>
        <w:rPr>
          <w:rFonts w:eastAsia="Times New Roman"/>
          <w:szCs w:val="20"/>
          <w:lang w:val="it-IT" w:eastAsia="en-US"/>
        </w:rPr>
      </w:pPr>
    </w:p>
    <w:p w14:paraId="7AB18BF5" w14:textId="77777777" w:rsidR="00886DE7" w:rsidRPr="00AA6543" w:rsidRDefault="00886DE7" w:rsidP="008B550E">
      <w:pPr>
        <w:pStyle w:val="Heading3"/>
        <w:rPr>
          <w:sz w:val="10"/>
          <w:szCs w:val="10"/>
        </w:rPr>
      </w:pPr>
      <w:r>
        <w:t>European Union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2"/>
        <w:gridCol w:w="4043"/>
      </w:tblGrid>
      <w:tr w:rsidR="00AA6543" w:rsidRPr="00132D3A" w14:paraId="06153769" w14:textId="77777777" w:rsidTr="00D9781B">
        <w:trPr>
          <w:cantSplit/>
        </w:trPr>
        <w:tc>
          <w:tcPr>
            <w:tcW w:w="5352" w:type="dxa"/>
          </w:tcPr>
          <w:p w14:paraId="08533503" w14:textId="77777777" w:rsidR="00132D3A" w:rsidRDefault="00132D3A" w:rsidP="00132D3A">
            <w:pPr>
              <w:pStyle w:val="Normal-pool-Table"/>
              <w:rPr>
                <w:sz w:val="20"/>
                <w:lang w:val="en-GB"/>
              </w:rPr>
            </w:pPr>
            <w:r w:rsidRPr="00132D3A">
              <w:rPr>
                <w:sz w:val="20"/>
                <w:lang w:val="en-GB"/>
              </w:rPr>
              <w:t>Rotterdam Convention Designated national authority for industrial chemicals and pesticides (DNA CP), Rotterdam Convention Official contact point (OCP)</w:t>
            </w:r>
            <w:r>
              <w:rPr>
                <w:sz w:val="20"/>
                <w:lang w:val="en-GB"/>
              </w:rPr>
              <w:t>.</w:t>
            </w:r>
          </w:p>
          <w:p w14:paraId="7B256311" w14:textId="77777777" w:rsidR="00132D3A" w:rsidRPr="003C73D5" w:rsidRDefault="00132D3A" w:rsidP="00132D3A">
            <w:pPr>
              <w:pStyle w:val="Normal-pool-Table"/>
              <w:rPr>
                <w:sz w:val="20"/>
                <w:lang w:val="en-GB"/>
              </w:rPr>
            </w:pPr>
          </w:p>
          <w:p w14:paraId="64567F1B" w14:textId="77777777" w:rsidR="00132D3A" w:rsidRPr="00132D3A" w:rsidRDefault="00132D3A" w:rsidP="00132D3A">
            <w:pPr>
              <w:pStyle w:val="Normal-pool-Table"/>
              <w:rPr>
                <w:sz w:val="20"/>
                <w:lang w:val="en-GB"/>
              </w:rPr>
            </w:pPr>
            <w:r w:rsidRPr="00886DE7">
              <w:rPr>
                <w:b/>
                <w:bCs/>
                <w:sz w:val="20"/>
                <w:lang w:val="en-GB"/>
              </w:rPr>
              <w:t xml:space="preserve">Name: </w:t>
            </w:r>
            <w:r w:rsidRPr="00132D3A">
              <w:rPr>
                <w:sz w:val="20"/>
                <w:lang w:val="en-GB"/>
              </w:rPr>
              <w:t>Mr. Juergen Helbig</w:t>
            </w:r>
          </w:p>
          <w:p w14:paraId="6557196E" w14:textId="77777777" w:rsidR="00132D3A" w:rsidRPr="00132D3A" w:rsidRDefault="00132D3A" w:rsidP="00132D3A">
            <w:pPr>
              <w:pStyle w:val="Normal-pool-Table"/>
              <w:rPr>
                <w:sz w:val="20"/>
                <w:lang w:val="en-GB"/>
              </w:rPr>
            </w:pPr>
            <w:r w:rsidRPr="00886DE7">
              <w:rPr>
                <w:b/>
                <w:bCs/>
                <w:sz w:val="20"/>
                <w:lang w:val="en-GB"/>
              </w:rPr>
              <w:t>Job title:</w:t>
            </w:r>
            <w:r w:rsidRPr="00132D3A">
              <w:rPr>
                <w:sz w:val="20"/>
                <w:lang w:val="en-GB"/>
              </w:rPr>
              <w:t xml:space="preserve"> International Chemicals Policy Coordinator</w:t>
            </w:r>
          </w:p>
          <w:p w14:paraId="59777D02" w14:textId="77777777" w:rsidR="00132D3A" w:rsidRPr="00132D3A" w:rsidRDefault="00132D3A" w:rsidP="00132D3A">
            <w:pPr>
              <w:pStyle w:val="Normal-pool-Table"/>
              <w:rPr>
                <w:sz w:val="20"/>
                <w:lang w:val="en-GB"/>
              </w:rPr>
            </w:pPr>
            <w:r w:rsidRPr="00886DE7">
              <w:rPr>
                <w:b/>
                <w:bCs/>
                <w:sz w:val="20"/>
                <w:lang w:val="en-GB"/>
              </w:rPr>
              <w:t>Department:</w:t>
            </w:r>
            <w:r w:rsidRPr="00132D3A">
              <w:rPr>
                <w:sz w:val="20"/>
                <w:lang w:val="en-GB"/>
              </w:rPr>
              <w:t xml:space="preserve"> DG Environment, Unit ENV.B2 - Safe and Sustainable Chemicals</w:t>
            </w:r>
          </w:p>
          <w:p w14:paraId="58038CB8" w14:textId="77777777" w:rsidR="00AA6543" w:rsidRPr="00B1179D" w:rsidRDefault="00132D3A" w:rsidP="00132D3A">
            <w:pPr>
              <w:rPr>
                <w:rFonts w:eastAsia="Times New Roman"/>
                <w:i/>
                <w:szCs w:val="20"/>
                <w:lang w:eastAsia="en-US"/>
              </w:rPr>
            </w:pPr>
            <w:r w:rsidRPr="00886DE7">
              <w:rPr>
                <w:b/>
                <w:bCs/>
              </w:rPr>
              <w:t>Institution:</w:t>
            </w:r>
            <w:r w:rsidRPr="00132D3A">
              <w:t xml:space="preserve"> European Commission</w:t>
            </w:r>
          </w:p>
        </w:tc>
        <w:tc>
          <w:tcPr>
            <w:tcW w:w="4043" w:type="dxa"/>
          </w:tcPr>
          <w:p w14:paraId="1B3A4444" w14:textId="77777777" w:rsidR="00132D3A" w:rsidRPr="00132D3A" w:rsidRDefault="00132D3A" w:rsidP="00132D3A">
            <w:pPr>
              <w:pStyle w:val="Normal-pool-Table"/>
              <w:rPr>
                <w:iCs/>
                <w:sz w:val="20"/>
                <w:lang w:val="en-GB"/>
              </w:rPr>
            </w:pPr>
            <w:r w:rsidRPr="00886DE7">
              <w:rPr>
                <w:b/>
                <w:bCs/>
                <w:iCs/>
                <w:sz w:val="20"/>
                <w:lang w:val="en-GB"/>
              </w:rPr>
              <w:t>Postal address:</w:t>
            </w:r>
            <w:r w:rsidRPr="00132D3A">
              <w:rPr>
                <w:iCs/>
                <w:sz w:val="20"/>
                <w:lang w:val="en-GB"/>
              </w:rPr>
              <w:t xml:space="preserve"> 1049 Brussels</w:t>
            </w:r>
          </w:p>
          <w:p w14:paraId="25599AE1" w14:textId="77777777" w:rsidR="00132D3A" w:rsidRPr="00132D3A" w:rsidRDefault="00132D3A" w:rsidP="00132D3A">
            <w:pPr>
              <w:pStyle w:val="Normal-pool-Table"/>
              <w:rPr>
                <w:iCs/>
                <w:sz w:val="20"/>
                <w:lang w:val="en-GB"/>
              </w:rPr>
            </w:pPr>
            <w:r w:rsidRPr="00132D3A">
              <w:rPr>
                <w:iCs/>
                <w:sz w:val="20"/>
                <w:lang w:val="en-GB"/>
              </w:rPr>
              <w:t>Belgium</w:t>
            </w:r>
          </w:p>
          <w:p w14:paraId="799769B9" w14:textId="77777777" w:rsidR="00132D3A" w:rsidRPr="00132D3A" w:rsidRDefault="00132D3A" w:rsidP="00132D3A">
            <w:pPr>
              <w:pStyle w:val="Normal-pool-Table"/>
              <w:rPr>
                <w:iCs/>
                <w:sz w:val="20"/>
                <w:lang w:val="en-GB"/>
              </w:rPr>
            </w:pPr>
            <w:r w:rsidRPr="00886DE7">
              <w:rPr>
                <w:b/>
                <w:bCs/>
                <w:iCs/>
                <w:sz w:val="20"/>
                <w:lang w:val="en-GB"/>
              </w:rPr>
              <w:t>Phone:</w:t>
            </w:r>
            <w:r w:rsidRPr="00132D3A">
              <w:rPr>
                <w:iCs/>
                <w:sz w:val="20"/>
                <w:lang w:val="en-GB"/>
              </w:rPr>
              <w:t xml:space="preserve"> +32 2 298 8521</w:t>
            </w:r>
          </w:p>
          <w:p w14:paraId="40BFE30E" w14:textId="77777777" w:rsidR="00132D3A" w:rsidRPr="00132D3A" w:rsidRDefault="00132D3A" w:rsidP="00132D3A">
            <w:pPr>
              <w:pStyle w:val="Normal-pool-Table"/>
              <w:rPr>
                <w:iCs/>
                <w:sz w:val="20"/>
                <w:lang w:val="fr-CA"/>
              </w:rPr>
            </w:pPr>
            <w:r w:rsidRPr="00886DE7">
              <w:rPr>
                <w:b/>
                <w:bCs/>
                <w:iCs/>
                <w:sz w:val="20"/>
                <w:lang w:val="fr-CA"/>
              </w:rPr>
              <w:t>Fax:</w:t>
            </w:r>
            <w:r w:rsidRPr="00132D3A">
              <w:rPr>
                <w:iCs/>
                <w:sz w:val="20"/>
                <w:lang w:val="fr-CA"/>
              </w:rPr>
              <w:t xml:space="preserve"> +32 2 298 8874</w:t>
            </w:r>
          </w:p>
          <w:p w14:paraId="1C766BE0" w14:textId="77777777" w:rsidR="00AA6543" w:rsidRPr="00132D3A" w:rsidRDefault="00132D3A" w:rsidP="00132D3A">
            <w:pPr>
              <w:rPr>
                <w:rFonts w:eastAsia="Times New Roman"/>
                <w:szCs w:val="20"/>
                <w:lang w:val="fr-CA" w:eastAsia="en-US"/>
              </w:rPr>
            </w:pPr>
            <w:r w:rsidRPr="00886DE7">
              <w:rPr>
                <w:b/>
                <w:bCs/>
                <w:iCs/>
                <w:lang w:val="fr-CA"/>
              </w:rPr>
              <w:t>Email:</w:t>
            </w:r>
            <w:r w:rsidRPr="00132D3A">
              <w:rPr>
                <w:iCs/>
                <w:lang w:val="fr-CA"/>
              </w:rPr>
              <w:t xml:space="preserve"> juergen.helbig@ec.europa.eu</w:t>
            </w:r>
          </w:p>
        </w:tc>
      </w:tr>
    </w:tbl>
    <w:p w14:paraId="76FB721C" w14:textId="77777777" w:rsidR="00AA6543" w:rsidRPr="00132D3A" w:rsidRDefault="00AA6543" w:rsidP="00AA6543">
      <w:pPr>
        <w:rPr>
          <w:rFonts w:eastAsia="Times New Roman"/>
          <w:szCs w:val="20"/>
          <w:lang w:val="fr-CA" w:eastAsia="en-US"/>
        </w:rPr>
      </w:pPr>
    </w:p>
    <w:p w14:paraId="27559A81" w14:textId="77777777" w:rsidR="00AA6543" w:rsidRPr="00AA6543" w:rsidRDefault="00AA6543" w:rsidP="00AA6543">
      <w:pPr>
        <w:autoSpaceDE w:val="0"/>
        <w:autoSpaceDN w:val="0"/>
        <w:adjustRightInd w:val="0"/>
        <w:rPr>
          <w:rFonts w:eastAsia="Times New Roman"/>
          <w:szCs w:val="20"/>
          <w:lang w:val="en-US" w:eastAsia="en-US"/>
        </w:rPr>
      </w:pPr>
      <w:r w:rsidRPr="00AA6543">
        <w:rPr>
          <w:rFonts w:eastAsia="Times New Roman"/>
          <w:b/>
          <w:szCs w:val="20"/>
          <w:lang w:val="en-US" w:eastAsia="en-US"/>
        </w:rPr>
        <w:t xml:space="preserve">C </w:t>
      </w:r>
      <w:r w:rsidRPr="00AA6543">
        <w:rPr>
          <w:rFonts w:eastAsia="Times New Roman"/>
          <w:szCs w:val="20"/>
          <w:lang w:val="en-US" w:eastAsia="en-US"/>
        </w:rPr>
        <w:t>Industrial chemicals</w:t>
      </w:r>
    </w:p>
    <w:p w14:paraId="1A1503EF" w14:textId="77777777" w:rsidR="00AA6543" w:rsidRPr="00AA6543" w:rsidRDefault="00AA6543" w:rsidP="00AA6543">
      <w:pPr>
        <w:autoSpaceDE w:val="0"/>
        <w:autoSpaceDN w:val="0"/>
        <w:adjustRightInd w:val="0"/>
        <w:rPr>
          <w:rFonts w:eastAsia="Times New Roman"/>
          <w:szCs w:val="20"/>
          <w:lang w:val="en-US" w:eastAsia="en-US"/>
        </w:rPr>
      </w:pPr>
      <w:r w:rsidRPr="00AA6543">
        <w:rPr>
          <w:rFonts w:eastAsia="Times New Roman"/>
          <w:b/>
          <w:szCs w:val="20"/>
          <w:lang w:val="en-US" w:eastAsia="en-US"/>
        </w:rPr>
        <w:t>CP</w:t>
      </w:r>
      <w:r w:rsidRPr="00AA6543">
        <w:rPr>
          <w:rFonts w:eastAsia="Times New Roman"/>
          <w:szCs w:val="20"/>
          <w:lang w:val="en-US" w:eastAsia="en-US"/>
        </w:rPr>
        <w:t xml:space="preserve"> Pesticides and industrial chemicals</w:t>
      </w:r>
    </w:p>
    <w:p w14:paraId="33449CBA" w14:textId="77777777" w:rsidR="00AA6543" w:rsidRPr="00AA6543" w:rsidRDefault="00AA6543" w:rsidP="00AA6543">
      <w:pPr>
        <w:autoSpaceDE w:val="0"/>
        <w:autoSpaceDN w:val="0"/>
        <w:adjustRightInd w:val="0"/>
        <w:rPr>
          <w:rFonts w:eastAsia="Times New Roman"/>
          <w:b/>
          <w:szCs w:val="20"/>
          <w:lang w:eastAsia="en-US"/>
        </w:rPr>
      </w:pPr>
      <w:r w:rsidRPr="00AA6543">
        <w:rPr>
          <w:rFonts w:eastAsia="Times New Roman"/>
          <w:b/>
          <w:szCs w:val="20"/>
          <w:lang w:val="en-US" w:eastAsia="en-US"/>
        </w:rPr>
        <w:t xml:space="preserve">P </w:t>
      </w:r>
      <w:r w:rsidRPr="00AA6543">
        <w:rPr>
          <w:rFonts w:eastAsia="Times New Roman"/>
          <w:szCs w:val="20"/>
          <w:lang w:val="en-US" w:eastAsia="en-US"/>
        </w:rPr>
        <w:t>Pesticides</w:t>
      </w:r>
    </w:p>
    <w:p w14:paraId="6A3D482F" w14:textId="77777777" w:rsidR="002C791B" w:rsidRDefault="00AA6543" w:rsidP="002C791B">
      <w:pPr>
        <w:pStyle w:val="Heading1"/>
      </w:pPr>
      <w:r w:rsidRPr="00AA6543">
        <w:rPr>
          <w:sz w:val="10"/>
          <w:szCs w:val="10"/>
        </w:rPr>
        <w:br w:type="page"/>
      </w:r>
      <w:bookmarkStart w:id="28" w:name="_Toc154010829"/>
      <w:r w:rsidR="002C791B" w:rsidRPr="00B1179D">
        <w:lastRenderedPageBreak/>
        <w:t>Annex 4</w:t>
      </w:r>
      <w:r w:rsidR="002C791B">
        <w:t>:</w:t>
      </w:r>
      <w:r w:rsidR="002C791B" w:rsidRPr="00B1179D">
        <w:t xml:space="preserve"> References</w:t>
      </w:r>
      <w:bookmarkEnd w:id="28"/>
      <w:r w:rsidR="002C791B" w:rsidRPr="00B1179D">
        <w:t xml:space="preserve"> </w:t>
      </w:r>
    </w:p>
    <w:p w14:paraId="4C073141" w14:textId="77777777" w:rsidR="00350991" w:rsidRPr="003C73D5" w:rsidRDefault="008B550E" w:rsidP="002C791B">
      <w:pPr>
        <w:pStyle w:val="Heading2"/>
      </w:pPr>
      <w:bookmarkStart w:id="29" w:name="_Toc154010830"/>
      <w:r>
        <w:t>1.</w:t>
      </w:r>
      <w:r w:rsidR="00631195">
        <w:tab/>
      </w:r>
      <w:r w:rsidR="00350991" w:rsidRPr="003C73D5">
        <w:t>Regulatory actions</w:t>
      </w:r>
      <w:bookmarkEnd w:id="29"/>
    </w:p>
    <w:p w14:paraId="4AF95FF5" w14:textId="77777777" w:rsidR="00350991" w:rsidRPr="00F35D07" w:rsidRDefault="00350991" w:rsidP="002C791B">
      <w:pPr>
        <w:pStyle w:val="Heading3"/>
        <w:rPr>
          <w:lang w:val="sv-SE"/>
        </w:rPr>
      </w:pPr>
      <w:r w:rsidRPr="00F35D07">
        <w:rPr>
          <w:lang w:val="sv-SE"/>
        </w:rPr>
        <w:t>Colombia</w:t>
      </w:r>
    </w:p>
    <w:p w14:paraId="5BE30F92" w14:textId="77777777" w:rsidR="00A054EE" w:rsidRPr="004C1BA1" w:rsidRDefault="00A054EE" w:rsidP="002C791B">
      <w:pPr>
        <w:rPr>
          <w:rFonts w:eastAsia="Times New Roman"/>
          <w:szCs w:val="20"/>
          <w:lang w:val="it-IT" w:eastAsia="en-US"/>
        </w:rPr>
      </w:pPr>
      <w:r w:rsidRPr="004C1BA1">
        <w:rPr>
          <w:rFonts w:eastAsia="Times New Roman"/>
          <w:szCs w:val="20"/>
          <w:lang w:val="it-IT" w:eastAsia="en-US"/>
        </w:rPr>
        <w:t xml:space="preserve">Ley 1658 de 2013 (Anexo I) </w:t>
      </w:r>
    </w:p>
    <w:p w14:paraId="30D93E83" w14:textId="77777777" w:rsidR="00A054EE" w:rsidRDefault="00A054EE" w:rsidP="002C791B">
      <w:pPr>
        <w:rPr>
          <w:rFonts w:eastAsia="Times New Roman"/>
          <w:szCs w:val="20"/>
          <w:lang w:val="en-CA" w:eastAsia="en-US"/>
        </w:rPr>
      </w:pPr>
      <w:r w:rsidRPr="004C1BA1">
        <w:rPr>
          <w:rFonts w:eastAsia="Times New Roman"/>
          <w:szCs w:val="20"/>
          <w:lang w:val="it-IT" w:eastAsia="en-US"/>
        </w:rPr>
        <w:t xml:space="preserve">DIARIO OFICIAL </w:t>
      </w:r>
      <w:r>
        <w:rPr>
          <w:rFonts w:eastAsia="Times New Roman"/>
          <w:szCs w:val="20"/>
          <w:lang w:val="it-IT" w:eastAsia="en-US"/>
        </w:rPr>
        <w:t>A</w:t>
      </w:r>
      <w:r w:rsidRPr="00791DEA">
        <w:rPr>
          <w:rFonts w:eastAsia="Times New Roman"/>
          <w:szCs w:val="20"/>
          <w:lang w:val="it-IT" w:eastAsia="en-US"/>
        </w:rPr>
        <w:t>Ñ</w:t>
      </w:r>
      <w:r>
        <w:rPr>
          <w:rFonts w:eastAsia="Times New Roman"/>
          <w:szCs w:val="20"/>
          <w:lang w:val="it-IT" w:eastAsia="en-US"/>
        </w:rPr>
        <w:t xml:space="preserve">O CXCLIX. N. 48.852. </w:t>
      </w:r>
      <w:r w:rsidRPr="00A054EE">
        <w:rPr>
          <w:rFonts w:eastAsia="Times New Roman"/>
          <w:szCs w:val="20"/>
          <w:lang w:val="en-CA" w:eastAsia="en-US"/>
        </w:rPr>
        <w:t>15, JULIO, PAG.6</w:t>
      </w:r>
    </w:p>
    <w:p w14:paraId="194005B4" w14:textId="77777777" w:rsidR="00A054EE" w:rsidRPr="00A054EE" w:rsidRDefault="00000000" w:rsidP="002C791B">
      <w:pPr>
        <w:rPr>
          <w:rFonts w:eastAsia="Times New Roman"/>
          <w:szCs w:val="20"/>
          <w:lang w:val="en-CA" w:eastAsia="en-US"/>
        </w:rPr>
      </w:pPr>
      <w:hyperlink r:id="rId35" w:history="1">
        <w:r w:rsidR="00A054EE" w:rsidRPr="007357D7">
          <w:rPr>
            <w:rStyle w:val="Hyperlink"/>
            <w:rFonts w:eastAsia="Times New Roman"/>
            <w:szCs w:val="20"/>
            <w:lang w:val="en-CA" w:eastAsia="en-US"/>
          </w:rPr>
          <w:t>http://www.suin-juriscol.gov.co/viewDocument.asp?ruta=Leyes/1685943</w:t>
        </w:r>
      </w:hyperlink>
    </w:p>
    <w:p w14:paraId="48278343" w14:textId="77777777" w:rsidR="00350991" w:rsidRPr="003C73D5" w:rsidRDefault="003C7849" w:rsidP="002C791B">
      <w:pPr>
        <w:pStyle w:val="Heading3"/>
      </w:pPr>
      <w:r>
        <w:t>European Union</w:t>
      </w:r>
    </w:p>
    <w:p w14:paraId="2EE37603" w14:textId="77777777" w:rsidR="00A054EE" w:rsidRPr="00F32CA4" w:rsidRDefault="00A054EE" w:rsidP="002C791B">
      <w:pPr>
        <w:rPr>
          <w:rFonts w:eastAsia="Times New Roman"/>
          <w:szCs w:val="20"/>
          <w:lang w:eastAsia="en-US"/>
        </w:rPr>
      </w:pPr>
      <w:r w:rsidRPr="00F32CA4">
        <w:rPr>
          <w:rFonts w:eastAsia="Times New Roman"/>
          <w:szCs w:val="20"/>
          <w:lang w:eastAsia="en-US"/>
        </w:rPr>
        <w:t>Directive 2006/66/EC of the European Parliament and of the Council of 6 September 2006 on</w:t>
      </w:r>
      <w:r>
        <w:rPr>
          <w:rFonts w:eastAsia="Times New Roman"/>
          <w:szCs w:val="20"/>
          <w:lang w:eastAsia="en-US"/>
        </w:rPr>
        <w:t xml:space="preserve"> </w:t>
      </w:r>
      <w:r w:rsidRPr="00F32CA4">
        <w:rPr>
          <w:rFonts w:eastAsia="Times New Roman"/>
          <w:szCs w:val="20"/>
          <w:lang w:eastAsia="en-US"/>
        </w:rPr>
        <w:t>batteries and accumulators and waste batteries and accumulators and repealing Directive</w:t>
      </w:r>
      <w:r>
        <w:rPr>
          <w:rFonts w:eastAsia="Times New Roman"/>
          <w:szCs w:val="20"/>
          <w:lang w:eastAsia="en-US"/>
        </w:rPr>
        <w:t xml:space="preserve"> </w:t>
      </w:r>
      <w:r w:rsidRPr="00F32CA4">
        <w:rPr>
          <w:rFonts w:eastAsia="Times New Roman"/>
          <w:szCs w:val="20"/>
          <w:lang w:eastAsia="en-US"/>
        </w:rPr>
        <w:t>91/157/EEC</w:t>
      </w:r>
      <w:r>
        <w:rPr>
          <w:rFonts w:eastAsia="Times New Roman"/>
          <w:szCs w:val="20"/>
          <w:lang w:eastAsia="en-US"/>
        </w:rPr>
        <w:t>.</w:t>
      </w:r>
    </w:p>
    <w:p w14:paraId="67330E4E" w14:textId="77777777" w:rsidR="00A054EE" w:rsidRDefault="00000000" w:rsidP="002C791B">
      <w:pPr>
        <w:rPr>
          <w:rFonts w:eastAsia="Times New Roman"/>
          <w:szCs w:val="20"/>
          <w:lang w:eastAsia="en-US"/>
        </w:rPr>
      </w:pPr>
      <w:hyperlink r:id="rId36" w:history="1">
        <w:r w:rsidR="00A054EE" w:rsidRPr="00175CDD">
          <w:rPr>
            <w:rStyle w:val="Hyperlink"/>
            <w:rFonts w:eastAsia="Times New Roman"/>
            <w:szCs w:val="20"/>
            <w:lang w:eastAsia="en-US"/>
          </w:rPr>
          <w:t>http://data.europa.eu/eli/dir/2006/66/2018-07-04</w:t>
        </w:r>
      </w:hyperlink>
    </w:p>
    <w:p w14:paraId="2CB8AF89" w14:textId="77777777" w:rsidR="00A054EE" w:rsidRPr="00F32CA4" w:rsidRDefault="00A054EE" w:rsidP="002C791B">
      <w:pPr>
        <w:rPr>
          <w:rFonts w:eastAsia="Times New Roman"/>
          <w:szCs w:val="20"/>
          <w:lang w:eastAsia="en-US"/>
        </w:rPr>
      </w:pPr>
      <w:r w:rsidRPr="00F32CA4">
        <w:rPr>
          <w:rFonts w:eastAsia="Times New Roman"/>
          <w:szCs w:val="20"/>
          <w:lang w:eastAsia="en-US"/>
        </w:rPr>
        <w:t>Directive 2007/51/EC of the European Parliament and of the Council of 25 September 2007</w:t>
      </w:r>
      <w:r>
        <w:rPr>
          <w:rFonts w:eastAsia="Times New Roman"/>
          <w:szCs w:val="20"/>
          <w:lang w:eastAsia="en-US"/>
        </w:rPr>
        <w:t xml:space="preserve"> </w:t>
      </w:r>
      <w:r w:rsidRPr="00F32CA4">
        <w:rPr>
          <w:rFonts w:eastAsia="Times New Roman"/>
          <w:szCs w:val="20"/>
          <w:lang w:eastAsia="en-US"/>
        </w:rPr>
        <w:t xml:space="preserve">amending Council Directive 76/769/EEC relating to restrictions on the marketing of </w:t>
      </w:r>
      <w:r>
        <w:rPr>
          <w:rFonts w:eastAsia="Times New Roman"/>
          <w:szCs w:val="20"/>
          <w:lang w:eastAsia="en-US"/>
        </w:rPr>
        <w:t xml:space="preserve">certain </w:t>
      </w:r>
      <w:r w:rsidRPr="00F32CA4">
        <w:rPr>
          <w:rFonts w:eastAsia="Times New Roman"/>
          <w:szCs w:val="20"/>
          <w:lang w:eastAsia="en-US"/>
        </w:rPr>
        <w:t>measuring devices containing mercury</w:t>
      </w:r>
    </w:p>
    <w:p w14:paraId="4432F582" w14:textId="77777777" w:rsidR="00A054EE" w:rsidRDefault="00000000" w:rsidP="002C791B">
      <w:pPr>
        <w:rPr>
          <w:rFonts w:eastAsia="Times New Roman"/>
          <w:szCs w:val="20"/>
          <w:lang w:eastAsia="en-US"/>
        </w:rPr>
      </w:pPr>
      <w:hyperlink r:id="rId37" w:history="1">
        <w:r w:rsidR="008A7E51">
          <w:rPr>
            <w:rStyle w:val="Hyperlink"/>
            <w:rFonts w:eastAsia="Times New Roman"/>
            <w:szCs w:val="20"/>
            <w:lang w:eastAsia="en-US"/>
          </w:rPr>
          <w:t>http://data.europa.eu/eli/dir/2007/51/oj</w:t>
        </w:r>
      </w:hyperlink>
    </w:p>
    <w:p w14:paraId="720154CA" w14:textId="77777777" w:rsidR="00A054EE" w:rsidRPr="00F32CA4" w:rsidRDefault="00A054EE" w:rsidP="002C791B">
      <w:pPr>
        <w:rPr>
          <w:rFonts w:eastAsia="Times New Roman"/>
          <w:szCs w:val="20"/>
          <w:lang w:eastAsia="en-US"/>
        </w:rPr>
      </w:pPr>
      <w:r w:rsidRPr="00F32CA4">
        <w:rPr>
          <w:rFonts w:eastAsia="Times New Roman"/>
          <w:szCs w:val="20"/>
          <w:lang w:eastAsia="en-US"/>
        </w:rPr>
        <w:t>Commission Regulation (EC) No 552/2009 of 22 June 2009 amending Regulation (EC) No1907/2006 of the European Parliament and of the Council on the Registration, Evaluation,</w:t>
      </w:r>
      <w:r w:rsidR="00D609EE">
        <w:rPr>
          <w:rFonts w:eastAsia="Times New Roman"/>
          <w:szCs w:val="20"/>
          <w:lang w:eastAsia="en-US"/>
        </w:rPr>
        <w:t xml:space="preserve"> </w:t>
      </w:r>
      <w:r w:rsidRPr="00F32CA4">
        <w:rPr>
          <w:rFonts w:eastAsia="Times New Roman"/>
          <w:szCs w:val="20"/>
          <w:lang w:eastAsia="en-US"/>
        </w:rPr>
        <w:t>Authorisation and Restriction of Chemicals (REACH) as regards Annex XVII</w:t>
      </w:r>
    </w:p>
    <w:p w14:paraId="381EBE0C" w14:textId="77777777" w:rsidR="00A054EE" w:rsidRDefault="00000000" w:rsidP="002C791B">
      <w:pPr>
        <w:rPr>
          <w:rFonts w:eastAsia="Times New Roman"/>
          <w:szCs w:val="20"/>
          <w:lang w:eastAsia="en-US"/>
        </w:rPr>
      </w:pPr>
      <w:hyperlink r:id="rId38" w:history="1">
        <w:r w:rsidR="008A7E51">
          <w:rPr>
            <w:rStyle w:val="Hyperlink"/>
            <w:rFonts w:eastAsia="Times New Roman"/>
            <w:szCs w:val="20"/>
            <w:lang w:eastAsia="en-US"/>
          </w:rPr>
          <w:t>http://data.europa.eu/eli/reg/2009/552/oj</w:t>
        </w:r>
      </w:hyperlink>
    </w:p>
    <w:p w14:paraId="0E6DA529" w14:textId="77777777" w:rsidR="00A054EE" w:rsidRPr="00F32CA4" w:rsidRDefault="00A054EE" w:rsidP="002C791B">
      <w:pPr>
        <w:rPr>
          <w:rFonts w:eastAsia="Times New Roman"/>
          <w:szCs w:val="20"/>
          <w:lang w:eastAsia="en-US"/>
        </w:rPr>
      </w:pPr>
      <w:r w:rsidRPr="00F32CA4">
        <w:rPr>
          <w:rFonts w:eastAsia="Times New Roman"/>
          <w:szCs w:val="20"/>
          <w:lang w:eastAsia="en-US"/>
        </w:rPr>
        <w:t>Commission Regulation (EU) No 847/2012 of 19 September 2012 amending Annex XVII to</w:t>
      </w:r>
      <w:r>
        <w:rPr>
          <w:rFonts w:eastAsia="Times New Roman"/>
          <w:szCs w:val="20"/>
          <w:lang w:eastAsia="en-US"/>
        </w:rPr>
        <w:t xml:space="preserve"> </w:t>
      </w:r>
      <w:r w:rsidRPr="00F32CA4">
        <w:rPr>
          <w:rFonts w:eastAsia="Times New Roman"/>
          <w:szCs w:val="20"/>
          <w:lang w:eastAsia="en-US"/>
        </w:rPr>
        <w:t>Regulation (EC) No 1907/2006 of the European Parliament and of the Council on the</w:t>
      </w:r>
      <w:r>
        <w:rPr>
          <w:rFonts w:eastAsia="Times New Roman"/>
          <w:szCs w:val="20"/>
          <w:lang w:eastAsia="en-US"/>
        </w:rPr>
        <w:t xml:space="preserve"> </w:t>
      </w:r>
      <w:r w:rsidRPr="00F32CA4">
        <w:rPr>
          <w:rFonts w:eastAsia="Times New Roman"/>
          <w:szCs w:val="20"/>
          <w:lang w:eastAsia="en-US"/>
        </w:rPr>
        <w:t>Registration, Evaluation, Authorisation and Restriction of Chemicals (REACH) as regards</w:t>
      </w:r>
      <w:r>
        <w:rPr>
          <w:rFonts w:eastAsia="Times New Roman"/>
          <w:szCs w:val="20"/>
          <w:lang w:eastAsia="en-US"/>
        </w:rPr>
        <w:t xml:space="preserve"> </w:t>
      </w:r>
      <w:r w:rsidRPr="00F32CA4">
        <w:rPr>
          <w:rFonts w:eastAsia="Times New Roman"/>
          <w:szCs w:val="20"/>
          <w:lang w:eastAsia="en-US"/>
        </w:rPr>
        <w:t>mercury</w:t>
      </w:r>
    </w:p>
    <w:p w14:paraId="1F65BE5C" w14:textId="77777777" w:rsidR="00A054EE" w:rsidRDefault="00000000" w:rsidP="002C791B">
      <w:pPr>
        <w:rPr>
          <w:rFonts w:eastAsia="Times New Roman"/>
          <w:szCs w:val="20"/>
          <w:lang w:eastAsia="en-US"/>
        </w:rPr>
      </w:pPr>
      <w:hyperlink r:id="rId39" w:history="1">
        <w:r w:rsidR="008A7E51">
          <w:rPr>
            <w:rStyle w:val="Hyperlink"/>
            <w:rFonts w:eastAsia="Times New Roman"/>
            <w:szCs w:val="20"/>
            <w:lang w:eastAsia="en-US"/>
          </w:rPr>
          <w:t>http://data.europa.eu/eli/reg/2012/847/oj</w:t>
        </w:r>
      </w:hyperlink>
    </w:p>
    <w:p w14:paraId="1D448632" w14:textId="77777777" w:rsidR="00A054EE" w:rsidRPr="00F32CA4" w:rsidRDefault="00A054EE" w:rsidP="002C791B">
      <w:pPr>
        <w:rPr>
          <w:rFonts w:eastAsia="Times New Roman"/>
          <w:szCs w:val="20"/>
          <w:lang w:eastAsia="en-US"/>
        </w:rPr>
      </w:pPr>
      <w:r w:rsidRPr="00F32CA4">
        <w:rPr>
          <w:rFonts w:eastAsia="Times New Roman"/>
          <w:szCs w:val="20"/>
          <w:lang w:eastAsia="en-US"/>
        </w:rPr>
        <w:t>Directive 2011/65/EU of the European Parliament and of the Council of 8 June 2011 on the</w:t>
      </w:r>
      <w:r>
        <w:rPr>
          <w:rFonts w:eastAsia="Times New Roman"/>
          <w:szCs w:val="20"/>
          <w:lang w:eastAsia="en-US"/>
        </w:rPr>
        <w:t xml:space="preserve"> </w:t>
      </w:r>
      <w:r w:rsidRPr="00F32CA4">
        <w:rPr>
          <w:rFonts w:eastAsia="Times New Roman"/>
          <w:szCs w:val="20"/>
          <w:lang w:eastAsia="en-US"/>
        </w:rPr>
        <w:t>restriction of the use of certain hazardous substances in electrical and electronic equipment.</w:t>
      </w:r>
    </w:p>
    <w:p w14:paraId="68DCFD89" w14:textId="77777777" w:rsidR="00A054EE" w:rsidRDefault="00000000" w:rsidP="002C791B">
      <w:pPr>
        <w:rPr>
          <w:rFonts w:eastAsia="Times New Roman"/>
          <w:szCs w:val="20"/>
          <w:lang w:eastAsia="en-US"/>
        </w:rPr>
      </w:pPr>
      <w:hyperlink r:id="rId40" w:history="1">
        <w:r w:rsidR="00A054EE" w:rsidRPr="00175CDD">
          <w:rPr>
            <w:rStyle w:val="Hyperlink"/>
            <w:rFonts w:eastAsia="Times New Roman"/>
            <w:szCs w:val="20"/>
            <w:lang w:eastAsia="en-US"/>
          </w:rPr>
          <w:t>http://data.europa.eu/eli/dir/2011/65/2020-09-01</w:t>
        </w:r>
      </w:hyperlink>
    </w:p>
    <w:p w14:paraId="00F754A7" w14:textId="77777777" w:rsidR="00A054EE" w:rsidRPr="00F32CA4" w:rsidRDefault="00A054EE" w:rsidP="002C791B">
      <w:pPr>
        <w:rPr>
          <w:rFonts w:eastAsia="Times New Roman"/>
          <w:szCs w:val="20"/>
          <w:lang w:eastAsia="en-US"/>
        </w:rPr>
      </w:pPr>
      <w:r w:rsidRPr="00F32CA4">
        <w:rPr>
          <w:rFonts w:eastAsia="Times New Roman"/>
          <w:szCs w:val="20"/>
          <w:lang w:eastAsia="en-US"/>
        </w:rPr>
        <w:t>Regulation (EU) 2017/852 of the European Parliament and of the Council of 17 May 2017 on</w:t>
      </w:r>
      <w:r>
        <w:rPr>
          <w:rFonts w:eastAsia="Times New Roman"/>
          <w:szCs w:val="20"/>
          <w:lang w:eastAsia="en-US"/>
        </w:rPr>
        <w:t xml:space="preserve"> </w:t>
      </w:r>
      <w:r w:rsidRPr="00F32CA4">
        <w:rPr>
          <w:rFonts w:eastAsia="Times New Roman"/>
          <w:szCs w:val="20"/>
          <w:lang w:eastAsia="en-US"/>
        </w:rPr>
        <w:t>mercury, and repealing Regulation (EC) No 1102/2008.</w:t>
      </w:r>
    </w:p>
    <w:p w14:paraId="2B774304" w14:textId="77777777" w:rsidR="00A054EE" w:rsidRDefault="00000000" w:rsidP="002C791B">
      <w:pPr>
        <w:rPr>
          <w:rFonts w:eastAsia="Times New Roman"/>
          <w:szCs w:val="20"/>
          <w:lang w:eastAsia="en-US"/>
        </w:rPr>
      </w:pPr>
      <w:hyperlink r:id="rId41" w:history="1">
        <w:r w:rsidR="008A7E51">
          <w:rPr>
            <w:rStyle w:val="Hyperlink"/>
            <w:rFonts w:eastAsia="Times New Roman"/>
            <w:szCs w:val="20"/>
            <w:lang w:eastAsia="en-US"/>
          </w:rPr>
          <w:t>http://data.europa.eu/eli/reg/2017/852/oj</w:t>
        </w:r>
      </w:hyperlink>
    </w:p>
    <w:p w14:paraId="1952BAB6" w14:textId="77777777" w:rsidR="00350991" w:rsidRDefault="008B550E" w:rsidP="006726FE">
      <w:pPr>
        <w:pStyle w:val="Heading2"/>
      </w:pPr>
      <w:bookmarkStart w:id="30" w:name="_Toc154010831"/>
      <w:r>
        <w:t>2.</w:t>
      </w:r>
      <w:r w:rsidR="00631195">
        <w:tab/>
      </w:r>
      <w:r w:rsidR="00350991" w:rsidRPr="003C73D5">
        <w:t>Supporting Documentation</w:t>
      </w:r>
      <w:bookmarkEnd w:id="30"/>
    </w:p>
    <w:p w14:paraId="15D19752" w14:textId="77777777" w:rsidR="00B22DC9" w:rsidRPr="00B22DC9" w:rsidRDefault="008125A4" w:rsidP="002C791B">
      <w:pPr>
        <w:rPr>
          <w:szCs w:val="20"/>
        </w:rPr>
      </w:pPr>
      <w:r>
        <w:rPr>
          <w:szCs w:val="20"/>
          <w:lang w:eastAsia="en-US"/>
        </w:rPr>
        <w:t>Mercury: n</w:t>
      </w:r>
      <w:r w:rsidR="00B22DC9" w:rsidRPr="00B22DC9">
        <w:rPr>
          <w:szCs w:val="20"/>
          <w:lang w:eastAsia="en-US"/>
        </w:rPr>
        <w:t>oti</w:t>
      </w:r>
      <w:r>
        <w:rPr>
          <w:szCs w:val="20"/>
          <w:lang w:eastAsia="en-US"/>
        </w:rPr>
        <w:t xml:space="preserve">fications </w:t>
      </w:r>
      <w:r w:rsidR="00B22DC9" w:rsidRPr="00B22DC9">
        <w:rPr>
          <w:szCs w:val="20"/>
          <w:lang w:eastAsia="en-US"/>
        </w:rPr>
        <w:t>of final regu</w:t>
      </w:r>
      <w:r w:rsidR="00B22DC9">
        <w:rPr>
          <w:szCs w:val="20"/>
          <w:lang w:eastAsia="en-US"/>
        </w:rPr>
        <w:t>latory</w:t>
      </w:r>
      <w:r w:rsidR="00B22DC9" w:rsidRPr="00B22DC9">
        <w:rPr>
          <w:szCs w:val="20"/>
          <w:lang w:eastAsia="en-US"/>
        </w:rPr>
        <w:t xml:space="preserve"> action</w:t>
      </w:r>
      <w:r>
        <w:rPr>
          <w:szCs w:val="20"/>
          <w:lang w:eastAsia="en-US"/>
        </w:rPr>
        <w:t xml:space="preserve">. </w:t>
      </w:r>
      <w:r w:rsidR="00B22DC9" w:rsidRPr="00B22DC9">
        <w:rPr>
          <w:szCs w:val="20"/>
        </w:rPr>
        <w:t>UNEP/FAO/RC/CRC.19/11</w:t>
      </w:r>
    </w:p>
    <w:p w14:paraId="24A6F3A7" w14:textId="77777777" w:rsidR="00350991" w:rsidRPr="003C73D5" w:rsidRDefault="00350991" w:rsidP="002C791B">
      <w:pPr>
        <w:pStyle w:val="Normal-pool"/>
        <w:spacing w:after="120"/>
        <w:rPr>
          <w:lang w:val="en-GB"/>
        </w:rPr>
      </w:pPr>
      <w:r w:rsidRPr="003C73D5">
        <w:rPr>
          <w:lang w:val="en-GB"/>
        </w:rPr>
        <w:t>Supporting documentation provided by Columbia. UNEP/FAO/RC/CRC.1</w:t>
      </w:r>
      <w:r w:rsidR="003C7849">
        <w:rPr>
          <w:lang w:val="en-GB"/>
        </w:rPr>
        <w:t>9</w:t>
      </w:r>
      <w:r w:rsidRPr="003C73D5">
        <w:rPr>
          <w:lang w:val="en-GB"/>
        </w:rPr>
        <w:t>/INF/</w:t>
      </w:r>
      <w:r w:rsidR="003C7849">
        <w:rPr>
          <w:lang w:val="en-GB"/>
        </w:rPr>
        <w:t>22</w:t>
      </w:r>
    </w:p>
    <w:p w14:paraId="33DE1B1C" w14:textId="77777777" w:rsidR="00350991" w:rsidRPr="003C73D5" w:rsidRDefault="00350991" w:rsidP="002C791B">
      <w:pPr>
        <w:pStyle w:val="Normal-pool"/>
        <w:spacing w:after="120"/>
        <w:rPr>
          <w:lang w:val="en-GB"/>
        </w:rPr>
      </w:pPr>
      <w:r w:rsidRPr="003C73D5">
        <w:rPr>
          <w:lang w:val="en-GB"/>
        </w:rPr>
        <w:t xml:space="preserve">Supporting documentation provided by the </w:t>
      </w:r>
      <w:r w:rsidR="003C7849">
        <w:rPr>
          <w:lang w:val="en-GB"/>
        </w:rPr>
        <w:t>European Union</w:t>
      </w:r>
      <w:r w:rsidRPr="003C73D5">
        <w:rPr>
          <w:lang w:val="en-GB"/>
        </w:rPr>
        <w:t>s. UNEP/FAO/RC/CRC.1</w:t>
      </w:r>
      <w:r w:rsidR="003C7849">
        <w:rPr>
          <w:lang w:val="en-GB"/>
        </w:rPr>
        <w:t>9/INF/24</w:t>
      </w:r>
    </w:p>
    <w:p w14:paraId="6AC2BD4D" w14:textId="77777777" w:rsidR="00350991" w:rsidRPr="003C73D5" w:rsidRDefault="008B550E" w:rsidP="006726FE">
      <w:pPr>
        <w:pStyle w:val="Heading2"/>
      </w:pPr>
      <w:bookmarkStart w:id="31" w:name="_Toc154010832"/>
      <w:r>
        <w:t>3.</w:t>
      </w:r>
      <w:r w:rsidR="00631195">
        <w:tab/>
      </w:r>
      <w:r w:rsidR="00350991" w:rsidRPr="003C73D5">
        <w:t>Other Documents</w:t>
      </w:r>
      <w:bookmarkEnd w:id="31"/>
    </w:p>
    <w:p w14:paraId="4BE5170A" w14:textId="77777777" w:rsidR="00FF6AB5" w:rsidRDefault="00FF6AB5" w:rsidP="002C791B">
      <w:pPr>
        <w:pStyle w:val="Normal-pool"/>
        <w:spacing w:after="120"/>
      </w:pPr>
      <w:r w:rsidRPr="00FF6AB5">
        <w:t>E</w:t>
      </w:r>
      <w:r w:rsidRPr="00E649AB">
        <w:t>CHA registration dossier</w:t>
      </w:r>
      <w:r>
        <w:t xml:space="preserve"> 5169 (Mercury)</w:t>
      </w:r>
      <w:r w:rsidRPr="00E649AB">
        <w:t xml:space="preserve">, accessed at: </w:t>
      </w:r>
      <w:hyperlink r:id="rId42" w:history="1">
        <w:r w:rsidRPr="007308A2">
          <w:rPr>
            <w:rStyle w:val="Hyperlink"/>
          </w:rPr>
          <w:t>https://echa.europa.eu/registration-dossier/-/registered-dossier/5169</w:t>
        </w:r>
      </w:hyperlink>
    </w:p>
    <w:p w14:paraId="2EB1B78C" w14:textId="77777777" w:rsidR="0053259E" w:rsidRPr="00E649AB" w:rsidRDefault="0053259E" w:rsidP="002C791B">
      <w:pPr>
        <w:pStyle w:val="Normal-pool"/>
        <w:spacing w:after="120"/>
      </w:pPr>
      <w:r w:rsidRPr="0053259E">
        <w:t>IARC (1993), IARC Monographs on the Evaluation of Carcinogenic Risks to humans, Beryllium, Cadmium, Mercury and Exposures in Glass Manufacturing Industry, Volume 58.</w:t>
      </w:r>
      <w:r>
        <w:rPr>
          <w:rFonts w:ascii="Segoe UI" w:eastAsia="SimSun" w:hAnsi="Segoe UI" w:cs="Segoe UI"/>
          <w:sz w:val="18"/>
          <w:szCs w:val="18"/>
          <w:lang w:val="en-GB" w:eastAsia="zh-CN"/>
        </w:rPr>
        <w:t xml:space="preserve"> </w:t>
      </w:r>
      <w:hyperlink r:id="rId43" w:history="1">
        <w:r w:rsidRPr="0053259E">
          <w:rPr>
            <w:rStyle w:val="Hyperlink"/>
          </w:rPr>
          <w:t>https://publications.iarc.fr/_publications/media/download/1954/ed5ada49ff1536d1474abdb982ee69583dbf1bc2.pdf</w:t>
        </w:r>
      </w:hyperlink>
    </w:p>
    <w:p w14:paraId="72DB3253" w14:textId="77777777" w:rsidR="007C3C6A" w:rsidRDefault="007C3C6A" w:rsidP="002C791B">
      <w:pPr>
        <w:pStyle w:val="Normal-pool"/>
        <w:spacing w:after="120"/>
      </w:pPr>
      <w:r>
        <w:t>IRIS (1995a). Mercury elemental; CASRN 7439-97-6.</w:t>
      </w:r>
      <w:r w:rsidRPr="007C3C6A">
        <w:t xml:space="preserve"> </w:t>
      </w:r>
      <w:hyperlink r:id="rId44" w:history="1">
        <w:r w:rsidRPr="007E7AA6">
          <w:rPr>
            <w:rStyle w:val="Hyperlink"/>
          </w:rPr>
          <w:t>https://cfpub.epa.gov/ncea/iris/iris_documents/documents/subst/0370_summary.pdf</w:t>
        </w:r>
      </w:hyperlink>
    </w:p>
    <w:p w14:paraId="5E268A65" w14:textId="77777777" w:rsidR="007C3C6A" w:rsidRDefault="007C3C6A" w:rsidP="002C791B">
      <w:pPr>
        <w:pStyle w:val="Normal-pool"/>
        <w:spacing w:after="120"/>
      </w:pPr>
      <w:r>
        <w:t>IRIS(1995b).</w:t>
      </w:r>
      <w:r w:rsidR="00E94D04">
        <w:t xml:space="preserve"> Mercuric chlori</w:t>
      </w:r>
      <w:r w:rsidR="008125A4">
        <w:t>d</w:t>
      </w:r>
      <w:r w:rsidR="00E94D04">
        <w:t xml:space="preserve">e (HgCl2); CVASRN 787-94-7. </w:t>
      </w:r>
      <w:hyperlink r:id="rId45" w:history="1">
        <w:r w:rsidR="00E94D04" w:rsidRPr="007E7AA6">
          <w:rPr>
            <w:rStyle w:val="Hyperlink"/>
          </w:rPr>
          <w:t>https://cfpub.epa.gov/ncea/iris/iris_documents/documents/subst/0692_summary.pdf</w:t>
        </w:r>
      </w:hyperlink>
    </w:p>
    <w:p w14:paraId="0798226E" w14:textId="77777777" w:rsidR="00E94D04" w:rsidRDefault="00E94D04" w:rsidP="002C791B">
      <w:pPr>
        <w:pStyle w:val="Normal-pool"/>
        <w:spacing w:after="120"/>
      </w:pPr>
      <w:r>
        <w:t>IRIS (2001). Methylmercury (</w:t>
      </w:r>
      <w:proofErr w:type="spellStart"/>
      <w:r>
        <w:t>MeHg</w:t>
      </w:r>
      <w:proofErr w:type="spellEnd"/>
      <w:r>
        <w:t xml:space="preserve">); CASRN 22967-92-6. </w:t>
      </w:r>
      <w:hyperlink r:id="rId46" w:history="1">
        <w:r w:rsidRPr="007E7AA6">
          <w:rPr>
            <w:rStyle w:val="Hyperlink"/>
          </w:rPr>
          <w:t>https://cfpub.epa.gov/ncea/iris/iris_documents/documents/subst/0073_summary.pdf</w:t>
        </w:r>
      </w:hyperlink>
    </w:p>
    <w:p w14:paraId="726D925A" w14:textId="77777777" w:rsidR="008C7423" w:rsidRDefault="008C7423" w:rsidP="002C791B">
      <w:pPr>
        <w:pStyle w:val="Normal-pool"/>
        <w:spacing w:after="120"/>
      </w:pPr>
      <w:r w:rsidRPr="008C7423">
        <w:t>SCOEL</w:t>
      </w:r>
      <w:r w:rsidR="008A7E51">
        <w:t>/SUM</w:t>
      </w:r>
      <w:r w:rsidRPr="008C7423">
        <w:t>/</w:t>
      </w:r>
      <w:r w:rsidR="008A7E51">
        <w:t>84</w:t>
      </w:r>
      <w:r>
        <w:t xml:space="preserve"> (2007).</w:t>
      </w:r>
      <w:r w:rsidRPr="008C7423">
        <w:t xml:space="preserve"> </w:t>
      </w:r>
      <w:r>
        <w:t>Recommendation from the Scientific Committee on Occupational Exposure Limits for elemental mercury and inorganic divalent mercury compounds</w:t>
      </w:r>
      <w:r w:rsidRPr="008C7423">
        <w:t xml:space="preserve">. </w:t>
      </w:r>
      <w:r>
        <w:t>May 2</w:t>
      </w:r>
      <w:r w:rsidRPr="008C7423">
        <w:t>0</w:t>
      </w:r>
      <w:r>
        <w:t>07.</w:t>
      </w:r>
      <w:r w:rsidRPr="008C7423">
        <w:t xml:space="preserve"> </w:t>
      </w:r>
      <w:hyperlink r:id="rId47" w:history="1">
        <w:r w:rsidRPr="007308A2">
          <w:rPr>
            <w:rStyle w:val="Hyperlink"/>
          </w:rPr>
          <w:t>http://ec.europa.eu/social/BlobServlet?docId=3852&amp;langId=en</w:t>
        </w:r>
      </w:hyperlink>
    </w:p>
    <w:p w14:paraId="70946FF8" w14:textId="77777777" w:rsidR="00E2248D" w:rsidRDefault="00E2248D" w:rsidP="002C791B">
      <w:pPr>
        <w:pStyle w:val="Normal-pool"/>
        <w:spacing w:after="120"/>
      </w:pPr>
      <w:r>
        <w:lastRenderedPageBreak/>
        <w:t xml:space="preserve">UNEP (2002): Global Mercury Assessment. UN Environment Programme, Chemicals Branch, Geneva, Switzerland. </w:t>
      </w:r>
      <w:hyperlink r:id="rId48" w:history="1">
        <w:r w:rsidRPr="007308A2">
          <w:rPr>
            <w:rStyle w:val="Hyperlink"/>
          </w:rPr>
          <w:t>https://www.unep.org/globalmercurypartnership/resources/report/global-mercury-assessment-2002</w:t>
        </w:r>
      </w:hyperlink>
    </w:p>
    <w:p w14:paraId="09985EE1" w14:textId="77777777" w:rsidR="00E2248D" w:rsidRDefault="00E2248D" w:rsidP="002C791B">
      <w:pPr>
        <w:pStyle w:val="Normal-pool"/>
        <w:spacing w:after="120"/>
      </w:pPr>
      <w:r>
        <w:t>UNEP (2008): The Global Atmosph</w:t>
      </w:r>
      <w:r w:rsidR="00C5699E">
        <w:t>e</w:t>
      </w:r>
      <w:r>
        <w:t>ric Mercury Assessment</w:t>
      </w:r>
      <w:r w:rsidR="00C5699E">
        <w:t>:</w:t>
      </w:r>
      <w:r>
        <w:t xml:space="preserve"> Sources, Emissions and Transport. UN Environment Programme, Chemicals Branch, Geneva, Switzerland. </w:t>
      </w:r>
      <w:hyperlink r:id="rId49" w:history="1">
        <w:r w:rsidRPr="007308A2">
          <w:rPr>
            <w:rStyle w:val="Hyperlink"/>
          </w:rPr>
          <w:t>https://www.unep.org/globalmercurypartnership/resources/report/global-atmospheric-mercury-assessment-sources-emissions-and-transport-2008</w:t>
        </w:r>
      </w:hyperlink>
      <w:r>
        <w:t>.</w:t>
      </w:r>
    </w:p>
    <w:p w14:paraId="357C92DD" w14:textId="77777777" w:rsidR="00E2248D" w:rsidRDefault="00E2248D" w:rsidP="002C791B">
      <w:pPr>
        <w:pStyle w:val="Normal-pool"/>
        <w:spacing w:after="120"/>
      </w:pPr>
      <w:r>
        <w:t xml:space="preserve">UNEP (2013): Global Mercury Assessment 2013: Sources, Emissions, Releases and Environmental Transport. UNEP Chemicals Branch, Geneva, Switzerland. </w:t>
      </w:r>
      <w:hyperlink r:id="rId50" w:history="1">
        <w:r>
          <w:rPr>
            <w:rStyle w:val="Hyperlink"/>
          </w:rPr>
          <w:t>Global Mercury Assessment 2013: Sources, emissions, releases, and environmental transport (unep.org)</w:t>
        </w:r>
      </w:hyperlink>
    </w:p>
    <w:p w14:paraId="071AF9D0" w14:textId="77777777" w:rsidR="00E2248D" w:rsidRDefault="0053259E" w:rsidP="002C791B">
      <w:pPr>
        <w:pStyle w:val="Normal-pool"/>
        <w:spacing w:after="120"/>
      </w:pPr>
      <w:r w:rsidRPr="003C73D5">
        <w:rPr>
          <w:lang w:val="en-GB"/>
        </w:rPr>
        <w:t>UNEP (</w:t>
      </w:r>
      <w:r>
        <w:rPr>
          <w:lang w:val="en-GB"/>
        </w:rPr>
        <w:t>2017</w:t>
      </w:r>
      <w:r w:rsidRPr="003C73D5">
        <w:rPr>
          <w:lang w:val="en-GB"/>
        </w:rPr>
        <w:t>).</w:t>
      </w:r>
      <w:r w:rsidR="00366E7C" w:rsidRPr="00366E7C">
        <w:rPr>
          <w:lang w:val="en-GB"/>
        </w:rPr>
        <w:t xml:space="preserve"> Global mercury supply, trade and demand. United Nations Environment Programme, Chemicals and Health Branch. Geneva, Switzerland.</w:t>
      </w:r>
      <w:r w:rsidRPr="003C73D5">
        <w:rPr>
          <w:lang w:val="en-GB"/>
        </w:rPr>
        <w:t xml:space="preserve"> </w:t>
      </w:r>
      <w:hyperlink r:id="rId51" w:history="1">
        <w:r w:rsidR="00E2248D" w:rsidRPr="007308A2">
          <w:rPr>
            <w:rStyle w:val="Hyperlink"/>
          </w:rPr>
          <w:t>https://www.unep.org/resources/report/global-mercury-supply-trade-and-demand</w:t>
        </w:r>
      </w:hyperlink>
    </w:p>
    <w:p w14:paraId="30EE45A7" w14:textId="77777777" w:rsidR="00E2248D" w:rsidRDefault="00E2248D" w:rsidP="002C791B">
      <w:pPr>
        <w:pStyle w:val="Normal-pool"/>
        <w:spacing w:after="120"/>
      </w:pPr>
      <w:r>
        <w:t xml:space="preserve">UNEP (2019): Global Mercury Assessment 2018. UN Environment Programme, Chemicals and Health Branch, Geneva, Switzerland. </w:t>
      </w:r>
      <w:hyperlink r:id="rId52" w:history="1">
        <w:r w:rsidRPr="007308A2">
          <w:rPr>
            <w:rStyle w:val="Hyperlink"/>
          </w:rPr>
          <w:t>https://www.unep.org/resources/publication/global-mercury-assessment-2018?_ga=2.172454499.1370957274.1702051132-948088036.1661281591</w:t>
        </w:r>
      </w:hyperlink>
    </w:p>
    <w:p w14:paraId="3FF2EE23" w14:textId="77777777" w:rsidR="00E649AB" w:rsidRPr="0053259E" w:rsidRDefault="00E649AB" w:rsidP="002C791B">
      <w:pPr>
        <w:pStyle w:val="Normal-pool"/>
        <w:spacing w:after="120"/>
      </w:pPr>
      <w:r w:rsidRPr="0053259E">
        <w:t xml:space="preserve">WHO </w:t>
      </w:r>
      <w:r w:rsidR="0053259E">
        <w:t>(</w:t>
      </w:r>
      <w:r w:rsidRPr="0053259E">
        <w:t>2000</w:t>
      </w:r>
      <w:r w:rsidR="0053259E">
        <w:t>).</w:t>
      </w:r>
      <w:r w:rsidRPr="0053259E">
        <w:t> Air quality guidelines for Europe, 2nd ed.. World Health Organization. Regional Office for Europe. </w:t>
      </w:r>
      <w:hyperlink r:id="rId53" w:history="1">
        <w:r w:rsidRPr="0053259E">
          <w:rPr>
            <w:rStyle w:val="Hyperlink"/>
          </w:rPr>
          <w:t>https://iris.who.int/handle/10665/107335</w:t>
        </w:r>
      </w:hyperlink>
      <w:r w:rsidRPr="0053259E">
        <w:rPr>
          <w:rStyle w:val="Hyperlink"/>
        </w:rPr>
        <w:t xml:space="preserve"> </w:t>
      </w:r>
    </w:p>
    <w:p w14:paraId="65A67FB7" w14:textId="77777777" w:rsidR="0053259E" w:rsidRDefault="0053259E" w:rsidP="002C791B">
      <w:pPr>
        <w:pStyle w:val="Normal-pool"/>
        <w:spacing w:after="120"/>
      </w:pPr>
      <w:r w:rsidRPr="0053259E">
        <w:t>WHO (2003)</w:t>
      </w:r>
      <w:r w:rsidR="00FF6AB5">
        <w:t>.</w:t>
      </w:r>
      <w:r w:rsidRPr="0053259E">
        <w:t xml:space="preserve"> </w:t>
      </w:r>
      <w:r w:rsidRPr="00E649AB">
        <w:t>Elemental mercury and inorganic mercury compounds: human health aspects, Concise International Chemical Assessment Document</w:t>
      </w:r>
      <w:r w:rsidR="00FF6AB5">
        <w:t xml:space="preserve"> 50</w:t>
      </w:r>
      <w:r w:rsidR="00FF6AB5">
        <w:rPr>
          <w:rFonts w:ascii="Segoe UI" w:hAnsi="Segoe UI" w:cs="Segoe UI"/>
          <w:i/>
          <w:iCs/>
          <w:sz w:val="18"/>
          <w:szCs w:val="18"/>
        </w:rPr>
        <w:t xml:space="preserve">. </w:t>
      </w:r>
      <w:r w:rsidR="00FF6AB5" w:rsidRPr="00FF6AB5">
        <w:t>World Health organization</w:t>
      </w:r>
      <w:r w:rsidR="00FF6AB5">
        <w:rPr>
          <w:rFonts w:ascii="Segoe UI" w:hAnsi="Segoe UI" w:cs="Segoe UI"/>
          <w:sz w:val="18"/>
          <w:szCs w:val="18"/>
        </w:rPr>
        <w:t>.</w:t>
      </w:r>
      <w:r w:rsidRPr="00E649AB">
        <w:rPr>
          <w:rFonts w:ascii="Segoe UI" w:hAnsi="Segoe UI" w:cs="Segoe UI"/>
          <w:i/>
          <w:iCs/>
          <w:sz w:val="18"/>
          <w:szCs w:val="18"/>
        </w:rPr>
        <w:t xml:space="preserve"> </w:t>
      </w:r>
      <w:hyperlink r:id="rId54" w:history="1">
        <w:r w:rsidR="00FF6AB5" w:rsidRPr="007308A2">
          <w:rPr>
            <w:rStyle w:val="Hyperlink"/>
          </w:rPr>
          <w:t>https://www.inchem.org/documents/cicads/cicads/cicad50.htm</w:t>
        </w:r>
      </w:hyperlink>
    </w:p>
    <w:p w14:paraId="3F7E88DD" w14:textId="77777777" w:rsidR="00FF6AB5" w:rsidRDefault="00E649AB" w:rsidP="002C791B">
      <w:pPr>
        <w:pStyle w:val="Normal-pool"/>
        <w:spacing w:after="120"/>
      </w:pPr>
      <w:r w:rsidRPr="0053259E">
        <w:t>WHO (</w:t>
      </w:r>
      <w:r w:rsidR="0053259E" w:rsidRPr="0053259E">
        <w:t>2021</w:t>
      </w:r>
      <w:r w:rsidRPr="0053259E">
        <w:t>)</w:t>
      </w:r>
      <w:r w:rsidR="0053259E">
        <w:t>.</w:t>
      </w:r>
      <w:r w:rsidRPr="0053259E">
        <w:t xml:space="preserve"> </w:t>
      </w:r>
      <w:r w:rsidR="0053259E" w:rsidRPr="0053259E">
        <w:t>E</w:t>
      </w:r>
      <w:r w:rsidRPr="0053259E">
        <w:t>xposure to mercury: a major public health concern</w:t>
      </w:r>
      <w:r w:rsidR="0053259E" w:rsidRPr="0053259E">
        <w:t xml:space="preserve">, second edition. Preventing disease through healthy environments. World Health Organization. </w:t>
      </w:r>
      <w:hyperlink r:id="rId55" w:history="1">
        <w:r w:rsidR="0053259E" w:rsidRPr="007308A2">
          <w:rPr>
            <w:rStyle w:val="Hyperlink"/>
          </w:rPr>
          <w:t>https://www.who.int/publications/i/item/9789240023567</w:t>
        </w:r>
      </w:hyperlink>
    </w:p>
    <w:p w14:paraId="74556A03" w14:textId="77777777" w:rsidR="002C791B" w:rsidRDefault="002C791B" w:rsidP="002C791B">
      <w:pPr>
        <w:pStyle w:val="Normal-pool"/>
        <w:spacing w:after="240"/>
        <w:jc w:val="center"/>
      </w:pPr>
      <w:r>
        <w:t>___________________</w:t>
      </w:r>
    </w:p>
    <w:sectPr w:rsidR="002C791B" w:rsidSect="003C4B91">
      <w:footerReference w:type="even" r:id="rId56"/>
      <w:footerReference w:type="default" r:id="rId57"/>
      <w:footerReference w:type="first" r:id="rId58"/>
      <w:pgSz w:w="11907" w:h="16840" w:code="9"/>
      <w:pgMar w:top="907" w:right="994" w:bottom="1411" w:left="1411" w:header="533" w:footer="97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7A9E" w14:textId="77777777" w:rsidR="003C4B91" w:rsidRDefault="003C4B91">
      <w:r>
        <w:separator/>
      </w:r>
    </w:p>
  </w:endnote>
  <w:endnote w:type="continuationSeparator" w:id="0">
    <w:p w14:paraId="79C8932B" w14:textId="77777777" w:rsidR="003C4B91" w:rsidRDefault="003C4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badi MT Condensed">
    <w:altName w:val="Times New Roman"/>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C85D" w14:textId="77777777" w:rsidR="00AA6543" w:rsidRDefault="00AA6543" w:rsidP="00AA6543">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36A21">
      <w:rPr>
        <w:rStyle w:val="PageNumber"/>
        <w:noProof/>
      </w:rPr>
      <w:t>1</w:t>
    </w:r>
    <w:r>
      <w:rPr>
        <w:rStyle w:val="PageNumber"/>
      </w:rPr>
      <w:fldChar w:fldCharType="end"/>
    </w:r>
  </w:p>
  <w:p w14:paraId="10289ECF" w14:textId="77777777" w:rsidR="00AA6543" w:rsidRDefault="00AA6543" w:rsidP="00AA6543">
    <w:pPr>
      <w:pStyle w:val="Footer"/>
      <w:ind w:right="360" w:firstLine="360"/>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469BC" w14:textId="77777777" w:rsidR="001F2F95" w:rsidRPr="001F2F95" w:rsidRDefault="001F2F95">
    <w:pPr>
      <w:pStyle w:val="Footer"/>
      <w:rPr>
        <w:b/>
        <w:bCs/>
        <w:sz w:val="18"/>
        <w:szCs w:val="18"/>
      </w:rPr>
    </w:pPr>
    <w:r w:rsidRPr="00CF73C7">
      <w:rPr>
        <w:b/>
        <w:bCs/>
        <w:sz w:val="18"/>
        <w:szCs w:val="18"/>
      </w:rPr>
      <w:fldChar w:fldCharType="begin"/>
    </w:r>
    <w:r w:rsidRPr="00CF73C7">
      <w:rPr>
        <w:b/>
        <w:bCs/>
        <w:sz w:val="18"/>
        <w:szCs w:val="18"/>
      </w:rPr>
      <w:instrText xml:space="preserve"> PAGE   \* MERGEFORMAT </w:instrText>
    </w:r>
    <w:r w:rsidRPr="00CF73C7">
      <w:rPr>
        <w:b/>
        <w:bCs/>
        <w:sz w:val="18"/>
        <w:szCs w:val="18"/>
      </w:rPr>
      <w:fldChar w:fldCharType="separate"/>
    </w:r>
    <w:r>
      <w:rPr>
        <w:b/>
        <w:bCs/>
        <w:sz w:val="18"/>
        <w:szCs w:val="18"/>
      </w:rPr>
      <w:t>2</w:t>
    </w:r>
    <w:r w:rsidRPr="00CF73C7">
      <w:rPr>
        <w:b/>
        <w:bCs/>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DC213" w14:textId="77777777" w:rsidR="00AA6543" w:rsidRPr="00CF73C7" w:rsidRDefault="00CF73C7" w:rsidP="00CF73C7">
    <w:pPr>
      <w:pStyle w:val="Footer"/>
      <w:tabs>
        <w:tab w:val="clear" w:pos="4536"/>
        <w:tab w:val="clear" w:pos="9072"/>
      </w:tabs>
      <w:jc w:val="right"/>
      <w:rPr>
        <w:b/>
        <w:bCs/>
        <w:sz w:val="18"/>
        <w:szCs w:val="18"/>
      </w:rPr>
    </w:pPr>
    <w:r w:rsidRPr="00CF73C7">
      <w:rPr>
        <w:b/>
        <w:bCs/>
        <w:sz w:val="18"/>
        <w:szCs w:val="18"/>
      </w:rPr>
      <w:fldChar w:fldCharType="begin"/>
    </w:r>
    <w:r w:rsidRPr="00CF73C7">
      <w:rPr>
        <w:b/>
        <w:bCs/>
        <w:sz w:val="18"/>
        <w:szCs w:val="18"/>
      </w:rPr>
      <w:instrText xml:space="preserve"> PAGE   \* MERGEFORMAT </w:instrText>
    </w:r>
    <w:r w:rsidRPr="00CF73C7">
      <w:rPr>
        <w:b/>
        <w:bCs/>
        <w:sz w:val="18"/>
        <w:szCs w:val="18"/>
      </w:rPr>
      <w:fldChar w:fldCharType="separate"/>
    </w:r>
    <w:r>
      <w:rPr>
        <w:b/>
        <w:bCs/>
        <w:sz w:val="18"/>
        <w:szCs w:val="18"/>
      </w:rPr>
      <w:t>2</w:t>
    </w:r>
    <w:r w:rsidRPr="00CF73C7">
      <w:rPr>
        <w:b/>
        <w:bCs/>
        <w:noProof/>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3413" w14:textId="77777777" w:rsidR="001F2F95" w:rsidRPr="00CF73C7" w:rsidRDefault="001F2F95">
    <w:pPr>
      <w:pStyle w:val="Footer"/>
      <w:rPr>
        <w:b/>
        <w:bCs/>
        <w:sz w:val="18"/>
        <w:szCs w:val="18"/>
      </w:rPr>
    </w:pPr>
    <w:r w:rsidRPr="00CF73C7">
      <w:rPr>
        <w:b/>
        <w:bCs/>
        <w:sz w:val="18"/>
        <w:szCs w:val="18"/>
      </w:rPr>
      <w:fldChar w:fldCharType="begin"/>
    </w:r>
    <w:r w:rsidRPr="00CF73C7">
      <w:rPr>
        <w:b/>
        <w:bCs/>
        <w:sz w:val="18"/>
        <w:szCs w:val="18"/>
      </w:rPr>
      <w:instrText xml:space="preserve"> PAGE   \* MERGEFORMAT </w:instrText>
    </w:r>
    <w:r w:rsidRPr="00CF73C7">
      <w:rPr>
        <w:b/>
        <w:bCs/>
        <w:sz w:val="18"/>
        <w:szCs w:val="18"/>
      </w:rPr>
      <w:fldChar w:fldCharType="separate"/>
    </w:r>
    <w:r w:rsidRPr="00CF73C7">
      <w:rPr>
        <w:b/>
        <w:bCs/>
        <w:noProof/>
        <w:sz w:val="18"/>
        <w:szCs w:val="18"/>
      </w:rPr>
      <w:t>2</w:t>
    </w:r>
    <w:r w:rsidRPr="00CF73C7">
      <w:rPr>
        <w:b/>
        <w:bC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5BFE" w14:textId="77777777" w:rsidR="003C4B91" w:rsidRDefault="003C4B91" w:rsidP="00103944">
      <w:pPr>
        <w:spacing w:before="60" w:after="0"/>
      </w:pPr>
      <w:r>
        <w:separator/>
      </w:r>
    </w:p>
  </w:footnote>
  <w:footnote w:type="continuationSeparator" w:id="0">
    <w:p w14:paraId="093F6200" w14:textId="77777777" w:rsidR="003C4B91" w:rsidRDefault="003C4B91">
      <w:r>
        <w:continuationSeparator/>
      </w:r>
    </w:p>
  </w:footnote>
  <w:footnote w:id="1">
    <w:p w14:paraId="024D6CF4" w14:textId="77777777" w:rsidR="00AA6543" w:rsidRPr="00287AAF" w:rsidRDefault="00AA6543" w:rsidP="00BC60F2">
      <w:pPr>
        <w:pStyle w:val="FootnoteText"/>
        <w:tabs>
          <w:tab w:val="left" w:pos="180"/>
        </w:tabs>
        <w:snapToGrid w:val="0"/>
        <w:ind w:left="7" w:hanging="7"/>
        <w:rPr>
          <w:szCs w:val="18"/>
        </w:rPr>
      </w:pPr>
      <w:r w:rsidRPr="00287AAF">
        <w:rPr>
          <w:rStyle w:val="FootnoteReference"/>
          <w:szCs w:val="18"/>
        </w:rPr>
        <w:footnoteRef/>
      </w:r>
      <w:r>
        <w:rPr>
          <w:szCs w:val="18"/>
        </w:rPr>
        <w:tab/>
        <w:t>According to the Convention, the term “c</w:t>
      </w:r>
      <w:r w:rsidRPr="00287AAF">
        <w:rPr>
          <w:szCs w:val="18"/>
        </w:rPr>
        <w:t>hemical</w:t>
      </w:r>
      <w:r>
        <w:rPr>
          <w:szCs w:val="18"/>
        </w:rPr>
        <w:t>”</w:t>
      </w:r>
      <w:r w:rsidRPr="00287AAF">
        <w:rPr>
          <w:szCs w:val="18"/>
        </w:rPr>
        <w:t xml:space="preserve"> means a substance</w:t>
      </w:r>
      <w:r>
        <w:rPr>
          <w:szCs w:val="18"/>
        </w:rPr>
        <w:t>,</w:t>
      </w:r>
      <w:r w:rsidRPr="00287AAF">
        <w:rPr>
          <w:szCs w:val="18"/>
        </w:rPr>
        <w:t xml:space="preserve"> whether by itself or in a mixture or preparation and whether manufactured or obtained from nature, but does not include any living organism. It consists of the following categories: pesticide (including severely hazardous pesticide formulations) and industrial.</w:t>
      </w:r>
    </w:p>
  </w:footnote>
  <w:footnote w:id="2">
    <w:p w14:paraId="6F598B6E" w14:textId="77777777" w:rsidR="00AA6543" w:rsidRPr="00287AAF" w:rsidRDefault="00AA6543" w:rsidP="00BC60F2">
      <w:pPr>
        <w:pStyle w:val="FootnoteText"/>
        <w:tabs>
          <w:tab w:val="left" w:pos="180"/>
        </w:tabs>
        <w:snapToGrid w:val="0"/>
        <w:ind w:left="7" w:hanging="7"/>
        <w:rPr>
          <w:szCs w:val="18"/>
        </w:rPr>
      </w:pPr>
      <w:r w:rsidRPr="00287AAF">
        <w:rPr>
          <w:rStyle w:val="FootnoteReference"/>
          <w:szCs w:val="18"/>
        </w:rPr>
        <w:footnoteRef/>
      </w:r>
      <w:r>
        <w:rPr>
          <w:szCs w:val="18"/>
        </w:rPr>
        <w:tab/>
        <w:t>According to the Convention, the term “</w:t>
      </w:r>
      <w:r w:rsidRPr="00287AAF">
        <w:rPr>
          <w:szCs w:val="18"/>
        </w:rPr>
        <w:t>Party</w:t>
      </w:r>
      <w:r>
        <w:rPr>
          <w:szCs w:val="18"/>
        </w:rPr>
        <w:t>”</w:t>
      </w:r>
      <w:r w:rsidRPr="00287AAF">
        <w:rPr>
          <w:szCs w:val="18"/>
        </w:rPr>
        <w:t xml:space="preserve"> means a State or regional economic integration organization that has consented to be bound by th</w:t>
      </w:r>
      <w:r>
        <w:rPr>
          <w:szCs w:val="18"/>
        </w:rPr>
        <w:t>e</w:t>
      </w:r>
      <w:r w:rsidRPr="00287AAF">
        <w:rPr>
          <w:szCs w:val="18"/>
        </w:rPr>
        <w:t xml:space="preserve"> Convention and for which the Convention is in force.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0F50" w14:textId="77777777" w:rsidR="00AA6543" w:rsidRDefault="00AA6543">
    <w:pPr>
      <w:pStyle w:val="Header"/>
      <w:jc w:val="righ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1F49"/>
    <w:multiLevelType w:val="hybridMultilevel"/>
    <w:tmpl w:val="E398F4D8"/>
    <w:lvl w:ilvl="0" w:tplc="3AE49CB6">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8E1C5E"/>
    <w:multiLevelType w:val="hybridMultilevel"/>
    <w:tmpl w:val="086C7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C90200"/>
    <w:multiLevelType w:val="hybridMultilevel"/>
    <w:tmpl w:val="D70C91AA"/>
    <w:lvl w:ilvl="0" w:tplc="A8E25FC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666750"/>
    <w:multiLevelType w:val="hybridMultilevel"/>
    <w:tmpl w:val="8B526636"/>
    <w:lvl w:ilvl="0" w:tplc="19A8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54F59"/>
    <w:multiLevelType w:val="hybridMultilevel"/>
    <w:tmpl w:val="05F60D3E"/>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1E0BD5"/>
    <w:multiLevelType w:val="hybridMultilevel"/>
    <w:tmpl w:val="7026C2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FB4DF6"/>
    <w:multiLevelType w:val="hybridMultilevel"/>
    <w:tmpl w:val="591E2744"/>
    <w:lvl w:ilvl="0" w:tplc="3AE49CB6">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E72D55"/>
    <w:multiLevelType w:val="hybridMultilevel"/>
    <w:tmpl w:val="9294B9B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3AE49CB6">
      <w:start w:val="1"/>
      <w:numFmt w:val="lowerRoman"/>
      <w:lvlText w:val="(%3)"/>
      <w:lvlJc w:val="right"/>
      <w:pPr>
        <w:ind w:left="144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8657DF9"/>
    <w:multiLevelType w:val="hybridMultilevel"/>
    <w:tmpl w:val="0A4A1588"/>
    <w:lvl w:ilvl="0" w:tplc="19A8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64689"/>
    <w:multiLevelType w:val="hybridMultilevel"/>
    <w:tmpl w:val="5ACA57AE"/>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017AEA"/>
    <w:multiLevelType w:val="hybridMultilevel"/>
    <w:tmpl w:val="875A227A"/>
    <w:lvl w:ilvl="0" w:tplc="299E1F8C">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BA5426"/>
    <w:multiLevelType w:val="hybridMultilevel"/>
    <w:tmpl w:val="78A6E2C4"/>
    <w:lvl w:ilvl="0" w:tplc="19A892F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1466E2"/>
    <w:multiLevelType w:val="hybridMultilevel"/>
    <w:tmpl w:val="473A032A"/>
    <w:lvl w:ilvl="0" w:tplc="19A892F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59E5C74"/>
    <w:multiLevelType w:val="singleLevel"/>
    <w:tmpl w:val="1F8A4B92"/>
    <w:lvl w:ilvl="0">
      <w:start w:val="1"/>
      <w:numFmt w:val="decimal"/>
      <w:pStyle w:val="mainpara"/>
      <w:lvlText w:val="%1."/>
      <w:lvlJc w:val="left"/>
      <w:pPr>
        <w:tabs>
          <w:tab w:val="num" w:pos="473"/>
        </w:tabs>
        <w:ind w:left="0" w:firstLine="113"/>
      </w:pPr>
    </w:lvl>
  </w:abstractNum>
  <w:abstractNum w:abstractNumId="14" w15:restartNumberingAfterBreak="0">
    <w:nsid w:val="263C16F8"/>
    <w:multiLevelType w:val="hybridMultilevel"/>
    <w:tmpl w:val="8C2E54B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0F1F73"/>
    <w:multiLevelType w:val="hybridMultilevel"/>
    <w:tmpl w:val="52BC8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EC039DD"/>
    <w:multiLevelType w:val="hybridMultilevel"/>
    <w:tmpl w:val="B39AC414"/>
    <w:lvl w:ilvl="0" w:tplc="19A892F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335CF6"/>
    <w:multiLevelType w:val="hybridMultilevel"/>
    <w:tmpl w:val="5B58B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0696869"/>
    <w:multiLevelType w:val="hybridMultilevel"/>
    <w:tmpl w:val="05F60D3E"/>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2994299"/>
    <w:multiLevelType w:val="hybridMultilevel"/>
    <w:tmpl w:val="5B58B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8DB7716"/>
    <w:multiLevelType w:val="hybridMultilevel"/>
    <w:tmpl w:val="4F16981C"/>
    <w:lvl w:ilvl="0" w:tplc="FA66DCD4">
      <w:start w:val="1"/>
      <w:numFmt w:val="lowerRoman"/>
      <w:lvlText w:val="(%1)"/>
      <w:lvlJc w:val="righ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C303A91"/>
    <w:multiLevelType w:val="hybridMultilevel"/>
    <w:tmpl w:val="02247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C8B6C88"/>
    <w:multiLevelType w:val="hybridMultilevel"/>
    <w:tmpl w:val="D16832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43C7082"/>
    <w:multiLevelType w:val="hybridMultilevel"/>
    <w:tmpl w:val="EDF6B7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920D9A"/>
    <w:multiLevelType w:val="hybridMultilevel"/>
    <w:tmpl w:val="5B58B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F4E3974"/>
    <w:multiLevelType w:val="hybridMultilevel"/>
    <w:tmpl w:val="EAA09C2E"/>
    <w:lvl w:ilvl="0" w:tplc="13AC1830">
      <w:start w:val="1"/>
      <w:numFmt w:val="lowerLetter"/>
      <w:lvlText w:val="%1)"/>
      <w:lvlJc w:val="left"/>
      <w:pPr>
        <w:ind w:left="720" w:hanging="360"/>
      </w:pPr>
      <w:rPr>
        <w:i w:val="0"/>
        <w:i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012165F"/>
    <w:multiLevelType w:val="hybridMultilevel"/>
    <w:tmpl w:val="E43EA43A"/>
    <w:lvl w:ilvl="0" w:tplc="19A892FA">
      <w:start w:val="1"/>
      <w:numFmt w:val="lowerLetter"/>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1B23EE"/>
    <w:multiLevelType w:val="hybridMultilevel"/>
    <w:tmpl w:val="34FC0E70"/>
    <w:lvl w:ilvl="0" w:tplc="19A892FA">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295712F"/>
    <w:multiLevelType w:val="hybridMultilevel"/>
    <w:tmpl w:val="778E20F6"/>
    <w:lvl w:ilvl="0" w:tplc="FFFFFFFF">
      <w:start w:val="1"/>
      <w:numFmt w:val="bullet"/>
      <w:lvlText w:val=""/>
      <w:lvlJc w:val="left"/>
      <w:pPr>
        <w:ind w:left="720" w:hanging="360"/>
      </w:pPr>
      <w:rPr>
        <w:rFonts w:ascii="Symbol" w:hAnsi="Symbol" w:hint="default"/>
      </w:rPr>
    </w:lvl>
    <w:lvl w:ilvl="1" w:tplc="3AE49CB6">
      <w:start w:val="1"/>
      <w:numFmt w:val="lowerRoman"/>
      <w:lvlText w:val="(%2)"/>
      <w:lvlJc w:val="righ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58E69C6"/>
    <w:multiLevelType w:val="hybridMultilevel"/>
    <w:tmpl w:val="91CEFE78"/>
    <w:lvl w:ilvl="0" w:tplc="081EB806">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6234872"/>
    <w:multiLevelType w:val="hybridMultilevel"/>
    <w:tmpl w:val="5E94E4E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AE49CB6">
      <w:start w:val="1"/>
      <w:numFmt w:val="lowerRoman"/>
      <w:lvlText w:val="(%3)"/>
      <w:lvlJc w:val="right"/>
      <w:pPr>
        <w:ind w:left="144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85F7A09"/>
    <w:multiLevelType w:val="hybridMultilevel"/>
    <w:tmpl w:val="5B58B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C21E6B"/>
    <w:multiLevelType w:val="hybridMultilevel"/>
    <w:tmpl w:val="5908FD48"/>
    <w:lvl w:ilvl="0" w:tplc="19A8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E72D78"/>
    <w:multiLevelType w:val="hybridMultilevel"/>
    <w:tmpl w:val="0C64A536"/>
    <w:lvl w:ilvl="0" w:tplc="19A8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EA35F4"/>
    <w:multiLevelType w:val="hybridMultilevel"/>
    <w:tmpl w:val="F4A64CBC"/>
    <w:lvl w:ilvl="0" w:tplc="19A892FA">
      <w:start w:val="1"/>
      <w:numFmt w:val="lowerLetter"/>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EE36BE8"/>
    <w:multiLevelType w:val="hybridMultilevel"/>
    <w:tmpl w:val="7026C28A"/>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25358C8"/>
    <w:multiLevelType w:val="hybridMultilevel"/>
    <w:tmpl w:val="1736E6C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3AE49CB6">
      <w:start w:val="1"/>
      <w:numFmt w:val="lowerRoman"/>
      <w:lvlText w:val="(%3)"/>
      <w:lvlJc w:val="right"/>
      <w:pPr>
        <w:ind w:left="144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94B3037"/>
    <w:multiLevelType w:val="hybridMultilevel"/>
    <w:tmpl w:val="B6A21E08"/>
    <w:lvl w:ilvl="0" w:tplc="19A892F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C6953A5"/>
    <w:multiLevelType w:val="hybridMultilevel"/>
    <w:tmpl w:val="7026C28A"/>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EF74C8D"/>
    <w:multiLevelType w:val="hybridMultilevel"/>
    <w:tmpl w:val="39FA90D8"/>
    <w:lvl w:ilvl="0" w:tplc="19A892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F092D"/>
    <w:multiLevelType w:val="hybridMultilevel"/>
    <w:tmpl w:val="FF78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B6334C"/>
    <w:multiLevelType w:val="hybridMultilevel"/>
    <w:tmpl w:val="83863E88"/>
    <w:lvl w:ilvl="0" w:tplc="19A892FA">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B0A74F0"/>
    <w:multiLevelType w:val="hybridMultilevel"/>
    <w:tmpl w:val="5B58BD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5719383">
    <w:abstractNumId w:val="13"/>
  </w:num>
  <w:num w:numId="2" w16cid:durableId="893546930">
    <w:abstractNumId w:val="23"/>
  </w:num>
  <w:num w:numId="3" w16cid:durableId="2097550875">
    <w:abstractNumId w:val="15"/>
  </w:num>
  <w:num w:numId="4" w16cid:durableId="1000279094">
    <w:abstractNumId w:val="9"/>
  </w:num>
  <w:num w:numId="5" w16cid:durableId="664750459">
    <w:abstractNumId w:val="2"/>
  </w:num>
  <w:num w:numId="6" w16cid:durableId="929393676">
    <w:abstractNumId w:val="4"/>
  </w:num>
  <w:num w:numId="7" w16cid:durableId="1507406068">
    <w:abstractNumId w:val="1"/>
  </w:num>
  <w:num w:numId="8" w16cid:durableId="1230194679">
    <w:abstractNumId w:val="21"/>
  </w:num>
  <w:num w:numId="9" w16cid:durableId="207570361">
    <w:abstractNumId w:val="35"/>
  </w:num>
  <w:num w:numId="10" w16cid:durableId="22563927">
    <w:abstractNumId w:val="14"/>
  </w:num>
  <w:num w:numId="11" w16cid:durableId="2016181582">
    <w:abstractNumId w:val="5"/>
  </w:num>
  <w:num w:numId="12" w16cid:durableId="1957129365">
    <w:abstractNumId w:val="22"/>
  </w:num>
  <w:num w:numId="13" w16cid:durableId="1876113099">
    <w:abstractNumId w:val="18"/>
  </w:num>
  <w:num w:numId="14" w16cid:durableId="1134565219">
    <w:abstractNumId w:val="25"/>
  </w:num>
  <w:num w:numId="15" w16cid:durableId="1991979773">
    <w:abstractNumId w:val="42"/>
  </w:num>
  <w:num w:numId="16" w16cid:durableId="1601453755">
    <w:abstractNumId w:val="31"/>
  </w:num>
  <w:num w:numId="17" w16cid:durableId="1164514715">
    <w:abstractNumId w:val="19"/>
  </w:num>
  <w:num w:numId="18" w16cid:durableId="508955240">
    <w:abstractNumId w:val="17"/>
  </w:num>
  <w:num w:numId="19" w16cid:durableId="2073044493">
    <w:abstractNumId w:val="24"/>
  </w:num>
  <w:num w:numId="20" w16cid:durableId="154418501">
    <w:abstractNumId w:val="29"/>
  </w:num>
  <w:num w:numId="21" w16cid:durableId="1074469925">
    <w:abstractNumId w:val="38"/>
  </w:num>
  <w:num w:numId="22" w16cid:durableId="1905145602">
    <w:abstractNumId w:val="12"/>
  </w:num>
  <w:num w:numId="23" w16cid:durableId="337999918">
    <w:abstractNumId w:val="28"/>
  </w:num>
  <w:num w:numId="24" w16cid:durableId="1279071318">
    <w:abstractNumId w:val="32"/>
  </w:num>
  <w:num w:numId="25" w16cid:durableId="1287197757">
    <w:abstractNumId w:val="6"/>
  </w:num>
  <w:num w:numId="26" w16cid:durableId="672614318">
    <w:abstractNumId w:val="10"/>
  </w:num>
  <w:num w:numId="27" w16cid:durableId="758408192">
    <w:abstractNumId w:val="41"/>
  </w:num>
  <w:num w:numId="28" w16cid:durableId="526990711">
    <w:abstractNumId w:val="30"/>
  </w:num>
  <w:num w:numId="29" w16cid:durableId="957641375">
    <w:abstractNumId w:val="11"/>
  </w:num>
  <w:num w:numId="30" w16cid:durableId="499347130">
    <w:abstractNumId w:val="37"/>
  </w:num>
  <w:num w:numId="31" w16cid:durableId="638219458">
    <w:abstractNumId w:val="7"/>
  </w:num>
  <w:num w:numId="32" w16cid:durableId="320239791">
    <w:abstractNumId w:val="16"/>
  </w:num>
  <w:num w:numId="33" w16cid:durableId="601962076">
    <w:abstractNumId w:val="26"/>
  </w:num>
  <w:num w:numId="34" w16cid:durableId="703943436">
    <w:abstractNumId w:val="27"/>
  </w:num>
  <w:num w:numId="35" w16cid:durableId="961106402">
    <w:abstractNumId w:val="34"/>
  </w:num>
  <w:num w:numId="36" w16cid:durableId="328488078">
    <w:abstractNumId w:val="36"/>
  </w:num>
  <w:num w:numId="37" w16cid:durableId="208614225">
    <w:abstractNumId w:val="3"/>
  </w:num>
  <w:num w:numId="38" w16cid:durableId="1867055353">
    <w:abstractNumId w:val="39"/>
  </w:num>
  <w:num w:numId="39" w16cid:durableId="211040593">
    <w:abstractNumId w:val="0"/>
  </w:num>
  <w:num w:numId="40" w16cid:durableId="539054953">
    <w:abstractNumId w:val="33"/>
  </w:num>
  <w:num w:numId="41" w16cid:durableId="514610173">
    <w:abstractNumId w:val="8"/>
  </w:num>
  <w:num w:numId="42" w16cid:durableId="1302226899">
    <w:abstractNumId w:val="20"/>
  </w:num>
  <w:num w:numId="43" w16cid:durableId="1394817325">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7255"/>
    <w:rsid w:val="00000E84"/>
    <w:rsid w:val="00004C8E"/>
    <w:rsid w:val="00006B07"/>
    <w:rsid w:val="0002655A"/>
    <w:rsid w:val="0004398B"/>
    <w:rsid w:val="00044339"/>
    <w:rsid w:val="000519D7"/>
    <w:rsid w:val="00075F4C"/>
    <w:rsid w:val="00094500"/>
    <w:rsid w:val="000A54E0"/>
    <w:rsid w:val="000B7D6D"/>
    <w:rsid w:val="000C6E19"/>
    <w:rsid w:val="000D5961"/>
    <w:rsid w:val="000E4E4D"/>
    <w:rsid w:val="000E6231"/>
    <w:rsid w:val="000E763E"/>
    <w:rsid w:val="0010059C"/>
    <w:rsid w:val="00103944"/>
    <w:rsid w:val="00107094"/>
    <w:rsid w:val="00132D3A"/>
    <w:rsid w:val="00136204"/>
    <w:rsid w:val="00136915"/>
    <w:rsid w:val="001443CB"/>
    <w:rsid w:val="00144FC9"/>
    <w:rsid w:val="00165D64"/>
    <w:rsid w:val="00171E60"/>
    <w:rsid w:val="001937FB"/>
    <w:rsid w:val="001952C9"/>
    <w:rsid w:val="001A36D6"/>
    <w:rsid w:val="001A77F8"/>
    <w:rsid w:val="001B6D6C"/>
    <w:rsid w:val="001C2EC5"/>
    <w:rsid w:val="001C665C"/>
    <w:rsid w:val="001D0619"/>
    <w:rsid w:val="001F2F95"/>
    <w:rsid w:val="00210AC8"/>
    <w:rsid w:val="002177BB"/>
    <w:rsid w:val="00217809"/>
    <w:rsid w:val="002335EE"/>
    <w:rsid w:val="0023448D"/>
    <w:rsid w:val="00243AED"/>
    <w:rsid w:val="00244BEB"/>
    <w:rsid w:val="00257443"/>
    <w:rsid w:val="00262C47"/>
    <w:rsid w:val="00266BB6"/>
    <w:rsid w:val="00286D77"/>
    <w:rsid w:val="002A4CCF"/>
    <w:rsid w:val="002C791B"/>
    <w:rsid w:val="002E3C38"/>
    <w:rsid w:val="002F07F8"/>
    <w:rsid w:val="002F0C79"/>
    <w:rsid w:val="002F6BCC"/>
    <w:rsid w:val="00331CB2"/>
    <w:rsid w:val="00334194"/>
    <w:rsid w:val="00350991"/>
    <w:rsid w:val="003564FA"/>
    <w:rsid w:val="00366E7C"/>
    <w:rsid w:val="00372683"/>
    <w:rsid w:val="003800D0"/>
    <w:rsid w:val="00392566"/>
    <w:rsid w:val="00394650"/>
    <w:rsid w:val="003B1EFB"/>
    <w:rsid w:val="003C4B91"/>
    <w:rsid w:val="003C74C6"/>
    <w:rsid w:val="003C7849"/>
    <w:rsid w:val="00400777"/>
    <w:rsid w:val="00435EFF"/>
    <w:rsid w:val="0046391C"/>
    <w:rsid w:val="00476BF9"/>
    <w:rsid w:val="004C1BA1"/>
    <w:rsid w:val="004F5CCE"/>
    <w:rsid w:val="004F7C6B"/>
    <w:rsid w:val="0051307F"/>
    <w:rsid w:val="0053259E"/>
    <w:rsid w:val="00546960"/>
    <w:rsid w:val="00573A4A"/>
    <w:rsid w:val="00584127"/>
    <w:rsid w:val="00591F0D"/>
    <w:rsid w:val="005B6E7E"/>
    <w:rsid w:val="005C1A50"/>
    <w:rsid w:val="005D4864"/>
    <w:rsid w:val="005F751A"/>
    <w:rsid w:val="00607537"/>
    <w:rsid w:val="00610CB3"/>
    <w:rsid w:val="006170BD"/>
    <w:rsid w:val="00623CC5"/>
    <w:rsid w:val="00627255"/>
    <w:rsid w:val="00631195"/>
    <w:rsid w:val="00634F7A"/>
    <w:rsid w:val="00641CEF"/>
    <w:rsid w:val="0065595A"/>
    <w:rsid w:val="00661ADF"/>
    <w:rsid w:val="006726FE"/>
    <w:rsid w:val="00697639"/>
    <w:rsid w:val="006C72FE"/>
    <w:rsid w:val="006F0EDE"/>
    <w:rsid w:val="006F1BCF"/>
    <w:rsid w:val="0070111E"/>
    <w:rsid w:val="0070355F"/>
    <w:rsid w:val="00715812"/>
    <w:rsid w:val="00716734"/>
    <w:rsid w:val="007373FA"/>
    <w:rsid w:val="00744948"/>
    <w:rsid w:val="0074740C"/>
    <w:rsid w:val="00750879"/>
    <w:rsid w:val="00753C3B"/>
    <w:rsid w:val="007551FF"/>
    <w:rsid w:val="00756090"/>
    <w:rsid w:val="00780363"/>
    <w:rsid w:val="0078421A"/>
    <w:rsid w:val="00791DEA"/>
    <w:rsid w:val="007937D9"/>
    <w:rsid w:val="007A4821"/>
    <w:rsid w:val="007A7B9C"/>
    <w:rsid w:val="007C3C6A"/>
    <w:rsid w:val="007E5756"/>
    <w:rsid w:val="00803F46"/>
    <w:rsid w:val="00806681"/>
    <w:rsid w:val="008125A4"/>
    <w:rsid w:val="00822D17"/>
    <w:rsid w:val="008301D2"/>
    <w:rsid w:val="008302F0"/>
    <w:rsid w:val="00851634"/>
    <w:rsid w:val="00854CC3"/>
    <w:rsid w:val="00862A48"/>
    <w:rsid w:val="008824CB"/>
    <w:rsid w:val="00886DE7"/>
    <w:rsid w:val="008A2583"/>
    <w:rsid w:val="008A7E51"/>
    <w:rsid w:val="008B2303"/>
    <w:rsid w:val="008B550E"/>
    <w:rsid w:val="008C7423"/>
    <w:rsid w:val="008D4794"/>
    <w:rsid w:val="008E703D"/>
    <w:rsid w:val="008F3F5A"/>
    <w:rsid w:val="00904B01"/>
    <w:rsid w:val="00905EDF"/>
    <w:rsid w:val="0091214A"/>
    <w:rsid w:val="009123FC"/>
    <w:rsid w:val="00934AC4"/>
    <w:rsid w:val="009455DC"/>
    <w:rsid w:val="00964F98"/>
    <w:rsid w:val="0096672C"/>
    <w:rsid w:val="009750C4"/>
    <w:rsid w:val="00980996"/>
    <w:rsid w:val="00985AAB"/>
    <w:rsid w:val="00987FEA"/>
    <w:rsid w:val="009928CB"/>
    <w:rsid w:val="00993133"/>
    <w:rsid w:val="009A44E4"/>
    <w:rsid w:val="009B0C77"/>
    <w:rsid w:val="009B1F82"/>
    <w:rsid w:val="009C513D"/>
    <w:rsid w:val="009D4989"/>
    <w:rsid w:val="009E3A3B"/>
    <w:rsid w:val="009E6CB7"/>
    <w:rsid w:val="00A054EE"/>
    <w:rsid w:val="00A16D0D"/>
    <w:rsid w:val="00A51CE7"/>
    <w:rsid w:val="00A57E37"/>
    <w:rsid w:val="00A84B50"/>
    <w:rsid w:val="00A901DD"/>
    <w:rsid w:val="00AA6543"/>
    <w:rsid w:val="00AB1533"/>
    <w:rsid w:val="00AD0872"/>
    <w:rsid w:val="00AF0D6D"/>
    <w:rsid w:val="00B01745"/>
    <w:rsid w:val="00B07161"/>
    <w:rsid w:val="00B076E8"/>
    <w:rsid w:val="00B1179D"/>
    <w:rsid w:val="00B22DC9"/>
    <w:rsid w:val="00B36A21"/>
    <w:rsid w:val="00B4178D"/>
    <w:rsid w:val="00B56F29"/>
    <w:rsid w:val="00BA6728"/>
    <w:rsid w:val="00BB3E51"/>
    <w:rsid w:val="00BC2144"/>
    <w:rsid w:val="00BC60F2"/>
    <w:rsid w:val="00BD23EE"/>
    <w:rsid w:val="00BE6D8A"/>
    <w:rsid w:val="00C0080D"/>
    <w:rsid w:val="00C03480"/>
    <w:rsid w:val="00C5699E"/>
    <w:rsid w:val="00C75CE7"/>
    <w:rsid w:val="00C83837"/>
    <w:rsid w:val="00C84737"/>
    <w:rsid w:val="00C93876"/>
    <w:rsid w:val="00CC6BB2"/>
    <w:rsid w:val="00CD2E55"/>
    <w:rsid w:val="00CE3577"/>
    <w:rsid w:val="00CE531F"/>
    <w:rsid w:val="00CF3DA0"/>
    <w:rsid w:val="00CF73C7"/>
    <w:rsid w:val="00CF785C"/>
    <w:rsid w:val="00D02204"/>
    <w:rsid w:val="00D066CE"/>
    <w:rsid w:val="00D1472B"/>
    <w:rsid w:val="00D5169E"/>
    <w:rsid w:val="00D56CA7"/>
    <w:rsid w:val="00D609EE"/>
    <w:rsid w:val="00D61BE2"/>
    <w:rsid w:val="00D6499F"/>
    <w:rsid w:val="00D86E92"/>
    <w:rsid w:val="00D96AC8"/>
    <w:rsid w:val="00D9781B"/>
    <w:rsid w:val="00DD56BF"/>
    <w:rsid w:val="00DD61F0"/>
    <w:rsid w:val="00DE28E3"/>
    <w:rsid w:val="00DE7E70"/>
    <w:rsid w:val="00E10822"/>
    <w:rsid w:val="00E14A42"/>
    <w:rsid w:val="00E21BD3"/>
    <w:rsid w:val="00E2248D"/>
    <w:rsid w:val="00E27EBE"/>
    <w:rsid w:val="00E32AC9"/>
    <w:rsid w:val="00E43EE1"/>
    <w:rsid w:val="00E644D1"/>
    <w:rsid w:val="00E649AB"/>
    <w:rsid w:val="00E743BA"/>
    <w:rsid w:val="00E94D04"/>
    <w:rsid w:val="00EA14E7"/>
    <w:rsid w:val="00EC2C97"/>
    <w:rsid w:val="00EE1026"/>
    <w:rsid w:val="00F16A88"/>
    <w:rsid w:val="00F24F67"/>
    <w:rsid w:val="00F32CA4"/>
    <w:rsid w:val="00F33280"/>
    <w:rsid w:val="00F35D07"/>
    <w:rsid w:val="00F37CD3"/>
    <w:rsid w:val="00F421F9"/>
    <w:rsid w:val="00F56696"/>
    <w:rsid w:val="00F65D1A"/>
    <w:rsid w:val="00F80F96"/>
    <w:rsid w:val="00FA267E"/>
    <w:rsid w:val="00FD0EDA"/>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533F319"/>
  <w15:chartTrackingRefBased/>
  <w15:docId w15:val="{1DC38F1D-EEBA-4C7F-B40A-89E34C028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03D"/>
    <w:pPr>
      <w:spacing w:after="120"/>
    </w:pPr>
    <w:rPr>
      <w:szCs w:val="24"/>
      <w:lang w:val="en-GB" w:eastAsia="zh-CN"/>
    </w:rPr>
  </w:style>
  <w:style w:type="paragraph" w:styleId="Heading1">
    <w:name w:val="heading 1"/>
    <w:basedOn w:val="Normal"/>
    <w:next w:val="Normal"/>
    <w:qFormat/>
    <w:rsid w:val="00987FEA"/>
    <w:pPr>
      <w:keepNext/>
      <w:spacing w:before="120"/>
      <w:outlineLvl w:val="0"/>
    </w:pPr>
    <w:rPr>
      <w:rFonts w:eastAsia="Times New Roman"/>
      <w:b/>
      <w:bCs/>
      <w:kern w:val="28"/>
      <w:sz w:val="28"/>
      <w:szCs w:val="29"/>
      <w:lang w:eastAsia="en-US"/>
    </w:rPr>
  </w:style>
  <w:style w:type="paragraph" w:styleId="Heading2">
    <w:name w:val="heading 2"/>
    <w:aliases w:val="Chpt"/>
    <w:basedOn w:val="Normal"/>
    <w:next w:val="Normal"/>
    <w:qFormat/>
    <w:rsid w:val="00987FEA"/>
    <w:pPr>
      <w:keepNext/>
      <w:spacing w:before="120"/>
      <w:outlineLvl w:val="1"/>
    </w:pPr>
    <w:rPr>
      <w:rFonts w:eastAsia="Times New Roman"/>
      <w:b/>
      <w:bCs/>
      <w:sz w:val="24"/>
      <w:szCs w:val="28"/>
      <w:lang w:eastAsia="en-US"/>
    </w:rPr>
  </w:style>
  <w:style w:type="paragraph" w:styleId="Heading3">
    <w:name w:val="heading 3"/>
    <w:aliases w:val="Sec"/>
    <w:basedOn w:val="Normal"/>
    <w:next w:val="Normal"/>
    <w:qFormat/>
    <w:rsid w:val="00F56696"/>
    <w:pPr>
      <w:snapToGrid w:val="0"/>
      <w:outlineLvl w:val="2"/>
    </w:pPr>
    <w:rPr>
      <w:rFonts w:eastAsia="Times New Roman"/>
      <w:b/>
      <w:bCs/>
      <w:i/>
      <w:szCs w:val="20"/>
      <w:lang w:eastAsia="en-US"/>
    </w:rPr>
  </w:style>
  <w:style w:type="paragraph" w:styleId="Heading4">
    <w:name w:val="heading 4"/>
    <w:aliases w:val="MainPara"/>
    <w:basedOn w:val="Normal"/>
    <w:next w:val="Normal"/>
    <w:qFormat/>
    <w:rsid w:val="00AA6543"/>
    <w:pPr>
      <w:keepNext/>
      <w:outlineLvl w:val="3"/>
    </w:pPr>
    <w:rPr>
      <w:rFonts w:eastAsia="Times New Roman"/>
      <w:sz w:val="28"/>
      <w:szCs w:val="28"/>
      <w:lang w:eastAsia="en-US"/>
    </w:rPr>
  </w:style>
  <w:style w:type="paragraph" w:styleId="Heading5">
    <w:name w:val="heading 5"/>
    <w:aliases w:val="Subpara 2"/>
    <w:basedOn w:val="Normal"/>
    <w:next w:val="Normal"/>
    <w:qFormat/>
    <w:rsid w:val="00AA6543"/>
    <w:pPr>
      <w:keepNext/>
      <w:widowControl w:val="0"/>
      <w:tabs>
        <w:tab w:val="left" w:pos="90"/>
      </w:tabs>
      <w:spacing w:before="101"/>
      <w:outlineLvl w:val="4"/>
    </w:pPr>
    <w:rPr>
      <w:rFonts w:eastAsia="Times New Roman"/>
      <w:b/>
      <w:bCs/>
      <w:snapToGrid w:val="0"/>
      <w:color w:val="000000"/>
      <w:szCs w:val="20"/>
      <w:lang w:eastAsia="en-US"/>
    </w:rPr>
  </w:style>
  <w:style w:type="paragraph" w:styleId="Heading6">
    <w:name w:val="heading 6"/>
    <w:basedOn w:val="Normal"/>
    <w:next w:val="Normal"/>
    <w:qFormat/>
    <w:rsid w:val="00AA6543"/>
    <w:pPr>
      <w:keepNext/>
      <w:outlineLvl w:val="5"/>
    </w:pPr>
    <w:rPr>
      <w:rFonts w:eastAsia="Times New Roman"/>
      <w:b/>
      <w:bCs/>
      <w:sz w:val="28"/>
      <w:szCs w:val="28"/>
      <w:lang w:eastAsia="en-US"/>
    </w:rPr>
  </w:style>
  <w:style w:type="paragraph" w:styleId="Heading7">
    <w:name w:val="heading 7"/>
    <w:basedOn w:val="Normal"/>
    <w:next w:val="Normal"/>
    <w:qFormat/>
    <w:rsid w:val="00AA6543"/>
    <w:pPr>
      <w:keepNext/>
      <w:widowControl w:val="0"/>
      <w:pBdr>
        <w:top w:val="single" w:sz="6" w:space="1" w:color="auto"/>
        <w:left w:val="single" w:sz="6" w:space="4" w:color="auto"/>
        <w:bottom w:val="single" w:sz="6" w:space="1" w:color="auto"/>
        <w:right w:val="single" w:sz="6" w:space="4" w:color="auto"/>
      </w:pBdr>
      <w:tabs>
        <w:tab w:val="left" w:pos="90"/>
      </w:tabs>
      <w:spacing w:before="131"/>
      <w:outlineLvl w:val="6"/>
    </w:pPr>
    <w:rPr>
      <w:rFonts w:eastAsia="Times New Roman"/>
      <w:b/>
      <w:bCs/>
      <w:snapToGrid w:val="0"/>
      <w:color w:val="000000"/>
      <w:szCs w:val="20"/>
      <w:lang w:eastAsia="en-US"/>
    </w:rPr>
  </w:style>
  <w:style w:type="paragraph" w:styleId="Heading8">
    <w:name w:val="heading 8"/>
    <w:basedOn w:val="Normal"/>
    <w:next w:val="Normal"/>
    <w:qFormat/>
    <w:rsid w:val="00AA6543"/>
    <w:pPr>
      <w:keepNext/>
      <w:widowControl w:val="0"/>
      <w:pBdr>
        <w:top w:val="single" w:sz="4" w:space="1" w:color="000000"/>
        <w:left w:val="single" w:sz="4" w:space="4" w:color="000000"/>
        <w:bottom w:val="single" w:sz="4" w:space="1" w:color="000000"/>
        <w:right w:val="single" w:sz="4" w:space="4" w:color="000000"/>
      </w:pBdr>
      <w:tabs>
        <w:tab w:val="left" w:pos="435"/>
        <w:tab w:val="left" w:pos="2376"/>
      </w:tabs>
      <w:spacing w:before="82"/>
      <w:outlineLvl w:val="7"/>
    </w:pPr>
    <w:rPr>
      <w:rFonts w:eastAsia="Times New Roman"/>
      <w:b/>
      <w:bCs/>
      <w:snapToGrid w:val="0"/>
      <w:szCs w:val="20"/>
      <w:lang w:eastAsia="en-US"/>
    </w:rPr>
  </w:style>
  <w:style w:type="paragraph" w:styleId="Heading9">
    <w:name w:val="heading 9"/>
    <w:basedOn w:val="Normal"/>
    <w:next w:val="Normal"/>
    <w:qFormat/>
    <w:rsid w:val="00AA6543"/>
    <w:pPr>
      <w:keepNext/>
      <w:outlineLvl w:val="8"/>
    </w:pPr>
    <w:rPr>
      <w:rFonts w:eastAsia="Times New Roman"/>
      <w:i/>
      <w:i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85AAB"/>
    <w:pPr>
      <w:tabs>
        <w:tab w:val="center" w:pos="4536"/>
        <w:tab w:val="right" w:pos="9072"/>
      </w:tabs>
    </w:pPr>
  </w:style>
  <w:style w:type="paragraph" w:styleId="Header">
    <w:name w:val="header"/>
    <w:basedOn w:val="Normal"/>
    <w:rsid w:val="00985AAB"/>
    <w:pPr>
      <w:tabs>
        <w:tab w:val="center" w:pos="4536"/>
        <w:tab w:val="right" w:pos="9072"/>
      </w:tabs>
    </w:pPr>
  </w:style>
  <w:style w:type="table" w:customStyle="1" w:styleId="TableNormal1">
    <w:name w:val="Table Normal1"/>
    <w:next w:val="TableNormal"/>
    <w:semiHidden/>
    <w:rsid w:val="00AA6543"/>
    <w:rPr>
      <w:rFonts w:eastAsia="Times New Roman"/>
      <w:lang w:eastAsia="zh-CN"/>
    </w:rPr>
    <w:tblPr>
      <w:tblInd w:w="0" w:type="dxa"/>
      <w:tblCellMar>
        <w:top w:w="0" w:type="dxa"/>
        <w:left w:w="108" w:type="dxa"/>
        <w:bottom w:w="0" w:type="dxa"/>
        <w:right w:w="108" w:type="dxa"/>
      </w:tblCellMar>
    </w:tblPr>
  </w:style>
  <w:style w:type="numbering" w:customStyle="1" w:styleId="NoList1">
    <w:name w:val="No List1"/>
    <w:next w:val="NoList"/>
    <w:semiHidden/>
    <w:rsid w:val="00AA6543"/>
  </w:style>
  <w:style w:type="character" w:styleId="PageNumber">
    <w:name w:val="page number"/>
    <w:basedOn w:val="DefaultParagraphFont"/>
    <w:rsid w:val="00AA6543"/>
  </w:style>
  <w:style w:type="paragraph" w:customStyle="1" w:styleId="Spacer">
    <w:name w:val="Spacer"/>
    <w:basedOn w:val="Normal"/>
    <w:rsid w:val="00AA6543"/>
    <w:pPr>
      <w:tabs>
        <w:tab w:val="left" w:pos="-720"/>
        <w:tab w:val="left" w:pos="0"/>
        <w:tab w:val="left" w:pos="720"/>
      </w:tabs>
      <w:suppressAutoHyphens/>
    </w:pPr>
    <w:rPr>
      <w:rFonts w:eastAsia="Times New Roman"/>
      <w:sz w:val="10"/>
      <w:szCs w:val="10"/>
      <w:lang w:eastAsia="en-US"/>
    </w:rPr>
  </w:style>
  <w:style w:type="paragraph" w:customStyle="1" w:styleId="Spacer1">
    <w:name w:val="Spacer1"/>
    <w:basedOn w:val="Normal"/>
    <w:rsid w:val="00AA6543"/>
    <w:rPr>
      <w:rFonts w:eastAsia="Times New Roman"/>
      <w:b/>
      <w:bCs/>
      <w:szCs w:val="20"/>
      <w:lang w:eastAsia="en-US"/>
    </w:rPr>
  </w:style>
  <w:style w:type="paragraph" w:customStyle="1" w:styleId="Listings">
    <w:name w:val="Listings"/>
    <w:basedOn w:val="Normal"/>
    <w:rsid w:val="00AA6543"/>
    <w:pPr>
      <w:spacing w:after="40"/>
    </w:pPr>
    <w:rPr>
      <w:rFonts w:eastAsia="Times New Roman"/>
      <w:szCs w:val="20"/>
      <w:lang w:eastAsia="en-US"/>
    </w:rPr>
  </w:style>
  <w:style w:type="paragraph" w:styleId="FootnoteText">
    <w:name w:val="footnote text"/>
    <w:aliases w:val="DNV-FT"/>
    <w:basedOn w:val="Normal"/>
    <w:link w:val="FootnoteTextChar"/>
    <w:semiHidden/>
    <w:qFormat/>
    <w:rsid w:val="008E703D"/>
    <w:pPr>
      <w:spacing w:before="20" w:after="40"/>
    </w:pPr>
    <w:rPr>
      <w:rFonts w:eastAsia="Times New Roman"/>
      <w:sz w:val="18"/>
      <w:szCs w:val="20"/>
      <w:lang w:eastAsia="en-US"/>
    </w:rPr>
  </w:style>
  <w:style w:type="character" w:styleId="FootnoteReference">
    <w:name w:val="footnote reference"/>
    <w:semiHidden/>
    <w:rsid w:val="00AA6543"/>
    <w:rPr>
      <w:vertAlign w:val="superscript"/>
    </w:rPr>
  </w:style>
  <w:style w:type="paragraph" w:customStyle="1" w:styleId="ListBold">
    <w:name w:val="ListBold"/>
    <w:basedOn w:val="Listings"/>
    <w:rsid w:val="00AA6543"/>
    <w:rPr>
      <w:b/>
      <w:bCs/>
    </w:rPr>
  </w:style>
  <w:style w:type="paragraph" w:customStyle="1" w:styleId="ListAD">
    <w:name w:val="ListAD"/>
    <w:basedOn w:val="Listings"/>
    <w:rsid w:val="00AA6543"/>
    <w:pPr>
      <w:spacing w:after="0"/>
    </w:pPr>
  </w:style>
  <w:style w:type="paragraph" w:customStyle="1" w:styleId="Substance">
    <w:name w:val="Substance"/>
    <w:basedOn w:val="Heading1"/>
    <w:rsid w:val="00AA6543"/>
    <w:pPr>
      <w:spacing w:before="160" w:after="160"/>
      <w:outlineLvl w:val="9"/>
    </w:pPr>
    <w:rPr>
      <w:sz w:val="48"/>
      <w:szCs w:val="48"/>
    </w:rPr>
  </w:style>
  <w:style w:type="paragraph" w:customStyle="1" w:styleId="RefNo">
    <w:name w:val="RefNo"/>
    <w:basedOn w:val="Listings"/>
    <w:rsid w:val="00AA6543"/>
    <w:pPr>
      <w:spacing w:after="0"/>
      <w:jc w:val="right"/>
    </w:pPr>
    <w:rPr>
      <w:i/>
      <w:iCs/>
    </w:rPr>
  </w:style>
  <w:style w:type="character" w:styleId="CommentReference">
    <w:name w:val="annotation reference"/>
    <w:semiHidden/>
    <w:rsid w:val="00AA6543"/>
    <w:rPr>
      <w:sz w:val="16"/>
      <w:szCs w:val="16"/>
    </w:rPr>
  </w:style>
  <w:style w:type="paragraph" w:customStyle="1" w:styleId="Ripeat">
    <w:name w:val="Ripeat"/>
    <w:basedOn w:val="Normal"/>
    <w:next w:val="Normal"/>
    <w:rsid w:val="00AA6543"/>
    <w:rPr>
      <w:rFonts w:eastAsia="Times New Roman"/>
      <w:i/>
      <w:iCs/>
      <w:szCs w:val="20"/>
      <w:lang w:eastAsia="en-US"/>
    </w:rPr>
  </w:style>
  <w:style w:type="paragraph" w:styleId="CommentText">
    <w:name w:val="annotation text"/>
    <w:basedOn w:val="Normal"/>
    <w:link w:val="CommentTextChar"/>
    <w:semiHidden/>
    <w:rsid w:val="00AA6543"/>
    <w:rPr>
      <w:rFonts w:eastAsia="Times New Roman"/>
      <w:szCs w:val="20"/>
      <w:lang w:eastAsia="en-US"/>
    </w:rPr>
  </w:style>
  <w:style w:type="character" w:styleId="Hyperlink">
    <w:name w:val="Hyperlink"/>
    <w:uiPriority w:val="99"/>
    <w:rsid w:val="00AA6543"/>
    <w:rPr>
      <w:color w:val="0000FF"/>
      <w:u w:val="single"/>
    </w:rPr>
  </w:style>
  <w:style w:type="paragraph" w:styleId="DocumentMap">
    <w:name w:val="Document Map"/>
    <w:basedOn w:val="Normal"/>
    <w:semiHidden/>
    <w:rsid w:val="00AA6543"/>
    <w:pPr>
      <w:shd w:val="clear" w:color="auto" w:fill="000080"/>
    </w:pPr>
    <w:rPr>
      <w:rFonts w:ascii="Tahoma" w:eastAsia="Times New Roman" w:hAnsi="Tahoma" w:cs="Tahoma"/>
      <w:szCs w:val="20"/>
      <w:lang w:eastAsia="en-US"/>
    </w:rPr>
  </w:style>
  <w:style w:type="character" w:styleId="FollowedHyperlink">
    <w:name w:val="FollowedHyperlink"/>
    <w:rsid w:val="00AA6543"/>
    <w:rPr>
      <w:color w:val="800080"/>
      <w:u w:val="single"/>
    </w:rPr>
  </w:style>
  <w:style w:type="paragraph" w:customStyle="1" w:styleId="Annex">
    <w:name w:val="Annex"/>
    <w:basedOn w:val="Normal"/>
    <w:next w:val="Normal"/>
    <w:autoRedefine/>
    <w:rsid w:val="00AA6543"/>
    <w:rPr>
      <w:rFonts w:eastAsia="Times New Roman"/>
      <w:smallCaps/>
      <w:sz w:val="22"/>
      <w:szCs w:val="22"/>
      <w:lang w:eastAsia="en-US"/>
    </w:rPr>
  </w:style>
  <w:style w:type="paragraph" w:customStyle="1" w:styleId="ca">
    <w:name w:val="ca"/>
    <w:basedOn w:val="Normal"/>
    <w:autoRedefine/>
    <w:rsid w:val="00AA6543"/>
    <w:pPr>
      <w:widowControl w:val="0"/>
    </w:pPr>
    <w:rPr>
      <w:rFonts w:eastAsia="Times New Roman"/>
      <w:snapToGrid w:val="0"/>
      <w:color w:val="000000"/>
      <w:szCs w:val="20"/>
      <w:lang w:eastAsia="en-US"/>
    </w:rPr>
  </w:style>
  <w:style w:type="paragraph" w:customStyle="1" w:styleId="biblio">
    <w:name w:val="biblio"/>
    <w:basedOn w:val="Normal"/>
    <w:rsid w:val="00AA6543"/>
    <w:pPr>
      <w:widowControl w:val="0"/>
      <w:tabs>
        <w:tab w:val="left" w:pos="90"/>
      </w:tabs>
    </w:pPr>
    <w:rPr>
      <w:rFonts w:eastAsia="Times New Roman"/>
      <w:snapToGrid w:val="0"/>
      <w:color w:val="000000"/>
      <w:sz w:val="22"/>
      <w:szCs w:val="22"/>
      <w:lang w:eastAsia="en-US"/>
    </w:rPr>
  </w:style>
  <w:style w:type="paragraph" w:styleId="Caption">
    <w:name w:val="caption"/>
    <w:basedOn w:val="Normal"/>
    <w:next w:val="Normal"/>
    <w:qFormat/>
    <w:rsid w:val="00AA6543"/>
    <w:pPr>
      <w:widowControl w:val="0"/>
    </w:pPr>
    <w:rPr>
      <w:rFonts w:ascii="Arial" w:eastAsia="Times New Roman" w:hAnsi="Arial" w:cs="Arial"/>
      <w:szCs w:val="20"/>
      <w:lang w:eastAsia="en-US"/>
    </w:rPr>
  </w:style>
  <w:style w:type="paragraph" w:styleId="BodyTextIndent">
    <w:name w:val="Body Text Indent"/>
    <w:basedOn w:val="Normal"/>
    <w:rsid w:val="00AA6543"/>
    <w:pPr>
      <w:spacing w:line="240" w:lineRule="atLeast"/>
      <w:ind w:left="-143"/>
    </w:pPr>
    <w:rPr>
      <w:rFonts w:eastAsia="Times New Roman"/>
      <w:sz w:val="38"/>
      <w:szCs w:val="38"/>
      <w:lang w:eastAsia="en-US"/>
    </w:rPr>
  </w:style>
  <w:style w:type="paragraph" w:customStyle="1" w:styleId="ad">
    <w:name w:val="ad"/>
    <w:basedOn w:val="Normal"/>
    <w:rsid w:val="00AA6543"/>
    <w:pPr>
      <w:widowControl w:val="0"/>
      <w:tabs>
        <w:tab w:val="left" w:pos="6480"/>
        <w:tab w:val="left" w:pos="7200"/>
      </w:tabs>
    </w:pPr>
    <w:rPr>
      <w:rFonts w:ascii="Abadi MT Condensed" w:eastAsia="Times New Roman" w:hAnsi="Abadi MT Condensed"/>
      <w:snapToGrid w:val="0"/>
      <w:color w:val="000000"/>
      <w:szCs w:val="20"/>
      <w:lang w:eastAsia="en-US"/>
    </w:rPr>
  </w:style>
  <w:style w:type="paragraph" w:customStyle="1" w:styleId="TH">
    <w:name w:val="TH"/>
    <w:basedOn w:val="ad"/>
    <w:next w:val="Normal"/>
    <w:rsid w:val="00AA6543"/>
    <w:pPr>
      <w:tabs>
        <w:tab w:val="clear" w:pos="6480"/>
        <w:tab w:val="clear" w:pos="7200"/>
      </w:tabs>
      <w:spacing w:before="80"/>
    </w:pPr>
    <w:rPr>
      <w:rFonts w:ascii="Arial Narrow" w:hAnsi="Arial Narrow"/>
      <w:b/>
      <w:bCs/>
      <w:sz w:val="24"/>
      <w:szCs w:val="24"/>
    </w:rPr>
  </w:style>
  <w:style w:type="paragraph" w:styleId="BodyText">
    <w:name w:val="Body Text"/>
    <w:basedOn w:val="Normal"/>
    <w:rsid w:val="00AA6543"/>
    <w:rPr>
      <w:rFonts w:eastAsia="Times New Roman"/>
      <w:sz w:val="28"/>
      <w:szCs w:val="28"/>
      <w:lang w:eastAsia="en-US"/>
    </w:rPr>
  </w:style>
  <w:style w:type="character" w:styleId="Strong">
    <w:name w:val="Strong"/>
    <w:uiPriority w:val="22"/>
    <w:qFormat/>
    <w:rsid w:val="00AA6543"/>
    <w:rPr>
      <w:b/>
      <w:bCs/>
    </w:rPr>
  </w:style>
  <w:style w:type="character" w:styleId="Emphasis">
    <w:name w:val="Emphasis"/>
    <w:qFormat/>
    <w:rsid w:val="00AA6543"/>
    <w:rPr>
      <w:i/>
      <w:iCs/>
    </w:rPr>
  </w:style>
  <w:style w:type="paragraph" w:styleId="BodyTextIndent2">
    <w:name w:val="Body Text Indent 2"/>
    <w:basedOn w:val="Normal"/>
    <w:rsid w:val="00AA6543"/>
    <w:pPr>
      <w:ind w:left="2552"/>
    </w:pPr>
    <w:rPr>
      <w:rFonts w:eastAsia="Times New Roman"/>
      <w:szCs w:val="20"/>
      <w:lang w:val="it-IT" w:eastAsia="en-US"/>
    </w:rPr>
  </w:style>
  <w:style w:type="paragraph" w:styleId="BodyTextIndent3">
    <w:name w:val="Body Text Indent 3"/>
    <w:basedOn w:val="Normal"/>
    <w:rsid w:val="00AA6543"/>
    <w:pPr>
      <w:ind w:left="567" w:hanging="567"/>
    </w:pPr>
    <w:rPr>
      <w:rFonts w:eastAsia="Times New Roman"/>
      <w:szCs w:val="20"/>
      <w:lang w:val="en-US" w:eastAsia="en-US"/>
    </w:rPr>
  </w:style>
  <w:style w:type="paragraph" w:styleId="Subtitle">
    <w:name w:val="Subtitle"/>
    <w:basedOn w:val="Normal"/>
    <w:qFormat/>
    <w:rsid w:val="00AA6543"/>
    <w:pPr>
      <w:widowControl w:val="0"/>
      <w:tabs>
        <w:tab w:val="left" w:pos="90"/>
      </w:tabs>
      <w:spacing w:before="175"/>
    </w:pPr>
    <w:rPr>
      <w:rFonts w:eastAsia="Times New Roman"/>
      <w:b/>
      <w:bCs/>
      <w:snapToGrid w:val="0"/>
      <w:color w:val="000000"/>
      <w:sz w:val="32"/>
      <w:szCs w:val="32"/>
      <w:lang w:val="en-US" w:eastAsia="en-US"/>
    </w:rPr>
  </w:style>
  <w:style w:type="paragraph" w:styleId="Title">
    <w:name w:val="Title"/>
    <w:basedOn w:val="Normal"/>
    <w:qFormat/>
    <w:rsid w:val="00AA6543"/>
    <w:pPr>
      <w:jc w:val="center"/>
    </w:pPr>
    <w:rPr>
      <w:rFonts w:eastAsia="Times New Roman"/>
      <w:szCs w:val="20"/>
      <w:u w:val="single"/>
      <w:lang w:eastAsia="en-US"/>
    </w:rPr>
  </w:style>
  <w:style w:type="paragraph" w:customStyle="1" w:styleId="mainpara">
    <w:name w:val="mainpara"/>
    <w:basedOn w:val="Normal"/>
    <w:rsid w:val="00AA6543"/>
    <w:pPr>
      <w:numPr>
        <w:numId w:val="1"/>
      </w:numPr>
      <w:tabs>
        <w:tab w:val="clear" w:pos="473"/>
        <w:tab w:val="left" w:pos="720"/>
        <w:tab w:val="left" w:pos="1440"/>
      </w:tabs>
    </w:pPr>
    <w:rPr>
      <w:rFonts w:eastAsia="Times New Roman"/>
      <w:snapToGrid w:val="0"/>
      <w:sz w:val="22"/>
      <w:szCs w:val="22"/>
      <w:lang w:eastAsia="en-US"/>
    </w:rPr>
  </w:style>
  <w:style w:type="paragraph" w:customStyle="1" w:styleId="Level1">
    <w:name w:val="Level1"/>
    <w:basedOn w:val="Normal"/>
    <w:rsid w:val="00AA6543"/>
    <w:pPr>
      <w:tabs>
        <w:tab w:val="left" w:pos="578"/>
        <w:tab w:val="left" w:pos="1157"/>
      </w:tabs>
      <w:suppressAutoHyphens/>
      <w:spacing w:after="240"/>
    </w:pPr>
    <w:rPr>
      <w:rFonts w:eastAsia="Times New Roman"/>
      <w:sz w:val="22"/>
      <w:szCs w:val="22"/>
      <w:lang w:eastAsia="en-US"/>
    </w:rPr>
  </w:style>
  <w:style w:type="character" w:customStyle="1" w:styleId="EmailStyle20">
    <w:name w:val="EmailStyle20"/>
    <w:rsid w:val="00AA6543"/>
    <w:rPr>
      <w:rFonts w:ascii="Arial" w:hAnsi="Arial" w:cs="Arial"/>
      <w:color w:val="000000"/>
      <w:sz w:val="20"/>
      <w:szCs w:val="20"/>
    </w:rPr>
  </w:style>
  <w:style w:type="paragraph" w:styleId="BodyText2">
    <w:name w:val="Body Text 2"/>
    <w:basedOn w:val="Normal"/>
    <w:rsid w:val="00AA6543"/>
    <w:rPr>
      <w:rFonts w:eastAsia="Times New Roman"/>
      <w:color w:val="FF0000"/>
      <w:sz w:val="18"/>
      <w:szCs w:val="18"/>
      <w:lang w:eastAsia="en-US"/>
    </w:rPr>
  </w:style>
  <w:style w:type="paragraph" w:styleId="BodyText3">
    <w:name w:val="Body Text 3"/>
    <w:basedOn w:val="Normal"/>
    <w:rsid w:val="00AA6543"/>
    <w:rPr>
      <w:rFonts w:eastAsia="Times New Roman"/>
      <w:b/>
      <w:bCs/>
      <w:i/>
      <w:iCs/>
      <w:szCs w:val="20"/>
      <w:lang w:eastAsia="en-US"/>
    </w:rPr>
  </w:style>
  <w:style w:type="paragraph" w:styleId="EndnoteText">
    <w:name w:val="endnote text"/>
    <w:basedOn w:val="Normal"/>
    <w:semiHidden/>
    <w:rsid w:val="00AA6543"/>
    <w:rPr>
      <w:rFonts w:eastAsia="Times New Roman"/>
      <w:szCs w:val="20"/>
      <w:lang w:eastAsia="en-US"/>
    </w:rPr>
  </w:style>
  <w:style w:type="character" w:styleId="EndnoteReference">
    <w:name w:val="endnote reference"/>
    <w:semiHidden/>
    <w:rsid w:val="00AA6543"/>
    <w:rPr>
      <w:vertAlign w:val="superscript"/>
    </w:rPr>
  </w:style>
  <w:style w:type="character" w:customStyle="1" w:styleId="emailstyle15">
    <w:name w:val="emailstyle15"/>
    <w:rsid w:val="00AA6543"/>
    <w:rPr>
      <w:rFonts w:ascii="Arial" w:hAnsi="Arial" w:cs="Arial"/>
      <w:color w:val="000000"/>
      <w:sz w:val="20"/>
      <w:szCs w:val="20"/>
    </w:rPr>
  </w:style>
  <w:style w:type="paragraph" w:styleId="BalloonText">
    <w:name w:val="Balloon Text"/>
    <w:basedOn w:val="Normal"/>
    <w:semiHidden/>
    <w:rsid w:val="00AA6543"/>
    <w:rPr>
      <w:rFonts w:ascii="Tahoma" w:eastAsia="Times New Roman" w:hAnsi="Tahoma"/>
      <w:sz w:val="16"/>
      <w:szCs w:val="16"/>
      <w:lang w:eastAsia="en-US"/>
    </w:rPr>
  </w:style>
  <w:style w:type="character" w:customStyle="1" w:styleId="FootnoteTextChar">
    <w:name w:val="Footnote Text Char"/>
    <w:aliases w:val="DNV-FT Char"/>
    <w:link w:val="FootnoteText"/>
    <w:semiHidden/>
    <w:rsid w:val="008E703D"/>
    <w:rPr>
      <w:rFonts w:eastAsia="Times New Roman"/>
      <w:sz w:val="18"/>
      <w:lang w:val="en-GB" w:eastAsia="en-US"/>
    </w:rPr>
  </w:style>
  <w:style w:type="paragraph" w:customStyle="1" w:styleId="Normal-pool">
    <w:name w:val="Normal-pool"/>
    <w:link w:val="Normal-poolChar"/>
    <w:qFormat/>
    <w:rsid w:val="00E43EE1"/>
    <w:pPr>
      <w:tabs>
        <w:tab w:val="left" w:pos="624"/>
        <w:tab w:val="left" w:pos="1247"/>
        <w:tab w:val="left" w:pos="1871"/>
        <w:tab w:val="left" w:pos="2495"/>
        <w:tab w:val="left" w:pos="3119"/>
        <w:tab w:val="left" w:pos="3742"/>
        <w:tab w:val="left" w:pos="4366"/>
      </w:tabs>
    </w:pPr>
    <w:rPr>
      <w:rFonts w:eastAsia="Times New Roman"/>
      <w:lang w:eastAsia="en-US"/>
    </w:rPr>
  </w:style>
  <w:style w:type="character" w:customStyle="1" w:styleId="Normal-poolChar">
    <w:name w:val="Normal-pool Char"/>
    <w:link w:val="Normal-pool"/>
    <w:locked/>
    <w:rsid w:val="00E43EE1"/>
    <w:rPr>
      <w:rFonts w:eastAsia="Times New Roman"/>
      <w:lang w:val="en-US" w:eastAsia="en-US"/>
    </w:rPr>
  </w:style>
  <w:style w:type="paragraph" w:customStyle="1" w:styleId="CH4">
    <w:name w:val="CH4"/>
    <w:basedOn w:val="Normal-pool"/>
    <w:next w:val="Normal"/>
    <w:qFormat/>
    <w:rsid w:val="00350991"/>
    <w:pPr>
      <w:keepNext/>
      <w:keepLines/>
      <w:tabs>
        <w:tab w:val="clear" w:pos="624"/>
        <w:tab w:val="right" w:pos="851"/>
      </w:tabs>
      <w:suppressAutoHyphens/>
      <w:spacing w:before="120" w:after="120"/>
      <w:ind w:left="1247" w:right="284" w:hanging="1247"/>
    </w:pPr>
    <w:rPr>
      <w:b/>
    </w:rPr>
  </w:style>
  <w:style w:type="paragraph" w:customStyle="1" w:styleId="CH5">
    <w:name w:val="CH5"/>
    <w:basedOn w:val="Normal"/>
    <w:next w:val="Normal"/>
    <w:unhideWhenUsed/>
    <w:qFormat/>
    <w:rsid w:val="00350991"/>
    <w:pPr>
      <w:keepNext/>
      <w:keepLines/>
      <w:tabs>
        <w:tab w:val="right" w:pos="851"/>
        <w:tab w:val="left" w:pos="1247"/>
        <w:tab w:val="left" w:pos="1814"/>
        <w:tab w:val="left" w:pos="2381"/>
        <w:tab w:val="left" w:pos="2948"/>
        <w:tab w:val="left" w:pos="3515"/>
        <w:tab w:val="left" w:pos="4082"/>
      </w:tabs>
      <w:suppressAutoHyphens/>
      <w:ind w:left="1247" w:right="284" w:hanging="1247"/>
    </w:pPr>
    <w:rPr>
      <w:rFonts w:eastAsia="Times New Roman"/>
      <w:b/>
      <w:szCs w:val="20"/>
      <w:lang w:val="en-US" w:eastAsia="en-US"/>
    </w:rPr>
  </w:style>
  <w:style w:type="paragraph" w:customStyle="1" w:styleId="Normal-pool-Table">
    <w:name w:val="Normal-pool-Table"/>
    <w:basedOn w:val="Normal-pool"/>
    <w:rsid w:val="00610CB3"/>
    <w:pPr>
      <w:spacing w:before="40" w:after="40"/>
    </w:pPr>
    <w:rPr>
      <w:sz w:val="18"/>
    </w:rPr>
  </w:style>
  <w:style w:type="character" w:styleId="UnresolvedMention">
    <w:name w:val="Unresolved Mention"/>
    <w:uiPriority w:val="99"/>
    <w:semiHidden/>
    <w:unhideWhenUsed/>
    <w:rsid w:val="007C3C6A"/>
    <w:rPr>
      <w:color w:val="605E5C"/>
      <w:shd w:val="clear" w:color="auto" w:fill="E1DFDD"/>
    </w:rPr>
  </w:style>
  <w:style w:type="paragraph" w:customStyle="1" w:styleId="CH3">
    <w:name w:val="CH3"/>
    <w:basedOn w:val="Normal-pool"/>
    <w:next w:val="Normal"/>
    <w:qFormat/>
    <w:rsid w:val="000519D7"/>
    <w:pPr>
      <w:keepNext/>
      <w:keepLines/>
      <w:tabs>
        <w:tab w:val="clear" w:pos="624"/>
        <w:tab w:val="right" w:pos="851"/>
      </w:tabs>
      <w:suppressAutoHyphens/>
      <w:spacing w:before="240" w:after="120"/>
      <w:ind w:left="1247" w:right="284" w:hanging="1247"/>
    </w:pPr>
    <w:rPr>
      <w:b/>
    </w:rPr>
  </w:style>
  <w:style w:type="table" w:styleId="TableGrid">
    <w:name w:val="Table Grid"/>
    <w:basedOn w:val="TableNormal"/>
    <w:rsid w:val="000519D7"/>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6D8A"/>
    <w:pPr>
      <w:spacing w:before="100" w:beforeAutospacing="1" w:after="100" w:afterAutospacing="1"/>
    </w:pPr>
    <w:rPr>
      <w:rFonts w:eastAsia="Times New Roman"/>
      <w:lang w:val="en-CA" w:eastAsia="en-CA"/>
    </w:rPr>
  </w:style>
  <w:style w:type="paragraph" w:styleId="Revision">
    <w:name w:val="Revision"/>
    <w:hidden/>
    <w:uiPriority w:val="99"/>
    <w:semiHidden/>
    <w:rsid w:val="00107094"/>
    <w:rPr>
      <w:sz w:val="24"/>
      <w:szCs w:val="24"/>
      <w:lang w:val="en-GB" w:eastAsia="zh-CN"/>
    </w:rPr>
  </w:style>
  <w:style w:type="paragraph" w:styleId="CommentSubject">
    <w:name w:val="annotation subject"/>
    <w:basedOn w:val="CommentText"/>
    <w:next w:val="CommentText"/>
    <w:link w:val="CommentSubjectChar"/>
    <w:uiPriority w:val="99"/>
    <w:semiHidden/>
    <w:unhideWhenUsed/>
    <w:rsid w:val="009B1F82"/>
    <w:rPr>
      <w:rFonts w:eastAsia="SimSun"/>
      <w:b/>
      <w:bCs/>
      <w:lang w:eastAsia="zh-CN"/>
    </w:rPr>
  </w:style>
  <w:style w:type="character" w:customStyle="1" w:styleId="CommentTextChar">
    <w:name w:val="Comment Text Char"/>
    <w:link w:val="CommentText"/>
    <w:semiHidden/>
    <w:rsid w:val="009B1F82"/>
    <w:rPr>
      <w:rFonts w:eastAsia="Times New Roman"/>
      <w:lang w:val="en-GB"/>
    </w:rPr>
  </w:style>
  <w:style w:type="character" w:customStyle="1" w:styleId="CommentSubjectChar">
    <w:name w:val="Comment Subject Char"/>
    <w:link w:val="CommentSubject"/>
    <w:uiPriority w:val="99"/>
    <w:semiHidden/>
    <w:rsid w:val="009B1F82"/>
    <w:rPr>
      <w:rFonts w:eastAsia="Times New Roman"/>
      <w:b/>
      <w:bCs/>
      <w:lang w:val="en-GB" w:eastAsia="zh-CN"/>
    </w:rPr>
  </w:style>
  <w:style w:type="character" w:customStyle="1" w:styleId="cf01">
    <w:name w:val="cf01"/>
    <w:rsid w:val="00E649AB"/>
    <w:rPr>
      <w:rFonts w:ascii="Segoe UI" w:hAnsi="Segoe UI" w:cs="Segoe UI" w:hint="default"/>
      <w:color w:val="333333"/>
      <w:sz w:val="18"/>
      <w:szCs w:val="18"/>
      <w:shd w:val="clear" w:color="auto" w:fill="FFFFFF"/>
    </w:rPr>
  </w:style>
  <w:style w:type="paragraph" w:customStyle="1" w:styleId="pf0">
    <w:name w:val="pf0"/>
    <w:basedOn w:val="Normal"/>
    <w:rsid w:val="00E649AB"/>
    <w:pPr>
      <w:spacing w:before="100" w:beforeAutospacing="1" w:after="100" w:afterAutospacing="1"/>
    </w:pPr>
    <w:rPr>
      <w:rFonts w:eastAsia="Times New Roman"/>
      <w:lang w:val="en-US" w:eastAsia="en-US"/>
    </w:rPr>
  </w:style>
  <w:style w:type="character" w:customStyle="1" w:styleId="cf11">
    <w:name w:val="cf11"/>
    <w:rsid w:val="00E649AB"/>
    <w:rPr>
      <w:rFonts w:ascii="Segoe UI" w:hAnsi="Segoe UI" w:cs="Segoe UI" w:hint="default"/>
      <w:sz w:val="18"/>
      <w:szCs w:val="18"/>
      <w:shd w:val="clear" w:color="auto" w:fill="FFFFFF"/>
    </w:rPr>
  </w:style>
  <w:style w:type="character" w:customStyle="1" w:styleId="cf21">
    <w:name w:val="cf21"/>
    <w:rsid w:val="00E649AB"/>
    <w:rPr>
      <w:rFonts w:ascii="Segoe UI" w:hAnsi="Segoe UI" w:cs="Segoe UI" w:hint="default"/>
      <w:sz w:val="18"/>
      <w:szCs w:val="18"/>
    </w:rPr>
  </w:style>
  <w:style w:type="character" w:customStyle="1" w:styleId="FooterChar">
    <w:name w:val="Footer Char"/>
    <w:link w:val="Footer"/>
    <w:uiPriority w:val="99"/>
    <w:rsid w:val="00CF73C7"/>
    <w:rPr>
      <w:szCs w:val="24"/>
      <w:lang w:val="en-GB" w:eastAsia="zh-CN"/>
    </w:rPr>
  </w:style>
  <w:style w:type="paragraph" w:styleId="TOCHeading">
    <w:name w:val="TOC Heading"/>
    <w:basedOn w:val="Heading1"/>
    <w:next w:val="Normal"/>
    <w:uiPriority w:val="39"/>
    <w:unhideWhenUsed/>
    <w:qFormat/>
    <w:rsid w:val="00F35D07"/>
    <w:pPr>
      <w:keepLines/>
      <w:spacing w:before="240" w:after="0" w:line="259" w:lineRule="auto"/>
      <w:outlineLvl w:val="9"/>
    </w:pPr>
    <w:rPr>
      <w:rFonts w:ascii="Calibri Light" w:eastAsia="Yu Gothic Light" w:hAnsi="Calibri Light"/>
      <w:b w:val="0"/>
      <w:bCs w:val="0"/>
      <w:color w:val="2F5496"/>
      <w:kern w:val="0"/>
      <w:sz w:val="32"/>
      <w:szCs w:val="32"/>
      <w:lang w:val="en-US"/>
    </w:rPr>
  </w:style>
  <w:style w:type="paragraph" w:styleId="TOC1">
    <w:name w:val="toc 1"/>
    <w:basedOn w:val="Normal"/>
    <w:next w:val="Normal"/>
    <w:autoRedefine/>
    <w:uiPriority w:val="39"/>
    <w:unhideWhenUsed/>
    <w:rsid w:val="00F35D07"/>
  </w:style>
  <w:style w:type="paragraph" w:styleId="TOC2">
    <w:name w:val="toc 2"/>
    <w:basedOn w:val="Normal"/>
    <w:next w:val="Normal"/>
    <w:autoRedefine/>
    <w:uiPriority w:val="39"/>
    <w:unhideWhenUsed/>
    <w:rsid w:val="00F35D07"/>
    <w:pPr>
      <w:ind w:left="200"/>
    </w:pPr>
  </w:style>
  <w:style w:type="paragraph" w:styleId="TOC3">
    <w:name w:val="toc 3"/>
    <w:basedOn w:val="Normal"/>
    <w:next w:val="Normal"/>
    <w:autoRedefine/>
    <w:uiPriority w:val="39"/>
    <w:unhideWhenUsed/>
    <w:rsid w:val="00F35D07"/>
    <w:pPr>
      <w:ind w:left="400"/>
    </w:pPr>
  </w:style>
  <w:style w:type="paragraph" w:styleId="TOC4">
    <w:name w:val="toc 4"/>
    <w:basedOn w:val="Normal"/>
    <w:next w:val="Normal"/>
    <w:autoRedefine/>
    <w:uiPriority w:val="39"/>
    <w:unhideWhenUsed/>
    <w:rsid w:val="00F35D07"/>
    <w:pPr>
      <w:spacing w:after="100" w:line="259" w:lineRule="auto"/>
      <w:ind w:left="660"/>
    </w:pPr>
    <w:rPr>
      <w:rFonts w:ascii="Calibri" w:eastAsia="Yu Mincho" w:hAnsi="Calibri"/>
      <w:kern w:val="2"/>
      <w:sz w:val="22"/>
      <w:szCs w:val="22"/>
      <w:lang w:val="en-US" w:eastAsia="ja-JP"/>
    </w:rPr>
  </w:style>
  <w:style w:type="paragraph" w:styleId="TOC5">
    <w:name w:val="toc 5"/>
    <w:basedOn w:val="Normal"/>
    <w:next w:val="Normal"/>
    <w:autoRedefine/>
    <w:uiPriority w:val="39"/>
    <w:unhideWhenUsed/>
    <w:rsid w:val="00F35D07"/>
    <w:pPr>
      <w:spacing w:after="100" w:line="259" w:lineRule="auto"/>
      <w:ind w:left="880"/>
    </w:pPr>
    <w:rPr>
      <w:rFonts w:ascii="Calibri" w:eastAsia="Yu Mincho" w:hAnsi="Calibri"/>
      <w:kern w:val="2"/>
      <w:sz w:val="22"/>
      <w:szCs w:val="22"/>
      <w:lang w:val="en-US" w:eastAsia="ja-JP"/>
    </w:rPr>
  </w:style>
  <w:style w:type="paragraph" w:styleId="TOC6">
    <w:name w:val="toc 6"/>
    <w:basedOn w:val="Normal"/>
    <w:next w:val="Normal"/>
    <w:autoRedefine/>
    <w:uiPriority w:val="39"/>
    <w:unhideWhenUsed/>
    <w:rsid w:val="00F35D07"/>
    <w:pPr>
      <w:spacing w:after="100" w:line="259" w:lineRule="auto"/>
      <w:ind w:left="1100"/>
    </w:pPr>
    <w:rPr>
      <w:rFonts w:ascii="Calibri" w:eastAsia="Yu Mincho" w:hAnsi="Calibri"/>
      <w:kern w:val="2"/>
      <w:sz w:val="22"/>
      <w:szCs w:val="22"/>
      <w:lang w:val="en-US" w:eastAsia="ja-JP"/>
    </w:rPr>
  </w:style>
  <w:style w:type="paragraph" w:styleId="TOC7">
    <w:name w:val="toc 7"/>
    <w:basedOn w:val="Normal"/>
    <w:next w:val="Normal"/>
    <w:autoRedefine/>
    <w:uiPriority w:val="39"/>
    <w:unhideWhenUsed/>
    <w:rsid w:val="00F35D07"/>
    <w:pPr>
      <w:spacing w:after="100" w:line="259" w:lineRule="auto"/>
      <w:ind w:left="1320"/>
    </w:pPr>
    <w:rPr>
      <w:rFonts w:ascii="Calibri" w:eastAsia="Yu Mincho" w:hAnsi="Calibri"/>
      <w:kern w:val="2"/>
      <w:sz w:val="22"/>
      <w:szCs w:val="22"/>
      <w:lang w:val="en-US" w:eastAsia="ja-JP"/>
    </w:rPr>
  </w:style>
  <w:style w:type="paragraph" w:styleId="TOC8">
    <w:name w:val="toc 8"/>
    <w:basedOn w:val="Normal"/>
    <w:next w:val="Normal"/>
    <w:autoRedefine/>
    <w:uiPriority w:val="39"/>
    <w:unhideWhenUsed/>
    <w:rsid w:val="00F35D07"/>
    <w:pPr>
      <w:spacing w:after="100" w:line="259" w:lineRule="auto"/>
      <w:ind w:left="1540"/>
    </w:pPr>
    <w:rPr>
      <w:rFonts w:ascii="Calibri" w:eastAsia="Yu Mincho" w:hAnsi="Calibri"/>
      <w:kern w:val="2"/>
      <w:sz w:val="22"/>
      <w:szCs w:val="22"/>
      <w:lang w:val="en-US" w:eastAsia="ja-JP"/>
    </w:rPr>
  </w:style>
  <w:style w:type="paragraph" w:styleId="TOC9">
    <w:name w:val="toc 9"/>
    <w:basedOn w:val="Normal"/>
    <w:next w:val="Normal"/>
    <w:autoRedefine/>
    <w:uiPriority w:val="39"/>
    <w:unhideWhenUsed/>
    <w:rsid w:val="00F35D07"/>
    <w:pPr>
      <w:spacing w:after="100" w:line="259" w:lineRule="auto"/>
      <w:ind w:left="1760"/>
    </w:pPr>
    <w:rPr>
      <w:rFonts w:ascii="Calibri" w:eastAsia="Yu Mincho" w:hAnsi="Calibri"/>
      <w:kern w:val="2"/>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067">
      <w:bodyDiv w:val="1"/>
      <w:marLeft w:val="0"/>
      <w:marRight w:val="0"/>
      <w:marTop w:val="0"/>
      <w:marBottom w:val="0"/>
      <w:divBdr>
        <w:top w:val="none" w:sz="0" w:space="0" w:color="auto"/>
        <w:left w:val="none" w:sz="0" w:space="0" w:color="auto"/>
        <w:bottom w:val="none" w:sz="0" w:space="0" w:color="auto"/>
        <w:right w:val="none" w:sz="0" w:space="0" w:color="auto"/>
      </w:divBdr>
    </w:div>
    <w:div w:id="201358861">
      <w:bodyDiv w:val="1"/>
      <w:marLeft w:val="0"/>
      <w:marRight w:val="0"/>
      <w:marTop w:val="0"/>
      <w:marBottom w:val="0"/>
      <w:divBdr>
        <w:top w:val="none" w:sz="0" w:space="0" w:color="auto"/>
        <w:left w:val="none" w:sz="0" w:space="0" w:color="auto"/>
        <w:bottom w:val="none" w:sz="0" w:space="0" w:color="auto"/>
        <w:right w:val="none" w:sz="0" w:space="0" w:color="auto"/>
      </w:divBdr>
    </w:div>
    <w:div w:id="545024173">
      <w:bodyDiv w:val="1"/>
      <w:marLeft w:val="0"/>
      <w:marRight w:val="0"/>
      <w:marTop w:val="0"/>
      <w:marBottom w:val="0"/>
      <w:divBdr>
        <w:top w:val="none" w:sz="0" w:space="0" w:color="auto"/>
        <w:left w:val="none" w:sz="0" w:space="0" w:color="auto"/>
        <w:bottom w:val="none" w:sz="0" w:space="0" w:color="auto"/>
        <w:right w:val="none" w:sz="0" w:space="0" w:color="auto"/>
      </w:divBdr>
    </w:div>
    <w:div w:id="629556075">
      <w:bodyDiv w:val="1"/>
      <w:marLeft w:val="0"/>
      <w:marRight w:val="0"/>
      <w:marTop w:val="0"/>
      <w:marBottom w:val="0"/>
      <w:divBdr>
        <w:top w:val="none" w:sz="0" w:space="0" w:color="auto"/>
        <w:left w:val="none" w:sz="0" w:space="0" w:color="auto"/>
        <w:bottom w:val="none" w:sz="0" w:space="0" w:color="auto"/>
        <w:right w:val="none" w:sz="0" w:space="0" w:color="auto"/>
      </w:divBdr>
    </w:div>
    <w:div w:id="763918305">
      <w:bodyDiv w:val="1"/>
      <w:marLeft w:val="0"/>
      <w:marRight w:val="0"/>
      <w:marTop w:val="0"/>
      <w:marBottom w:val="0"/>
      <w:divBdr>
        <w:top w:val="none" w:sz="0" w:space="0" w:color="auto"/>
        <w:left w:val="none" w:sz="0" w:space="0" w:color="auto"/>
        <w:bottom w:val="none" w:sz="0" w:space="0" w:color="auto"/>
        <w:right w:val="none" w:sz="0" w:space="0" w:color="auto"/>
      </w:divBdr>
    </w:div>
    <w:div w:id="1041127182">
      <w:bodyDiv w:val="1"/>
      <w:marLeft w:val="0"/>
      <w:marRight w:val="0"/>
      <w:marTop w:val="0"/>
      <w:marBottom w:val="0"/>
      <w:divBdr>
        <w:top w:val="none" w:sz="0" w:space="0" w:color="auto"/>
        <w:left w:val="none" w:sz="0" w:space="0" w:color="auto"/>
        <w:bottom w:val="none" w:sz="0" w:space="0" w:color="auto"/>
        <w:right w:val="none" w:sz="0" w:space="0" w:color="auto"/>
      </w:divBdr>
    </w:div>
    <w:div w:id="1150291112">
      <w:bodyDiv w:val="1"/>
      <w:marLeft w:val="0"/>
      <w:marRight w:val="0"/>
      <w:marTop w:val="0"/>
      <w:marBottom w:val="0"/>
      <w:divBdr>
        <w:top w:val="none" w:sz="0" w:space="0" w:color="auto"/>
        <w:left w:val="none" w:sz="0" w:space="0" w:color="auto"/>
        <w:bottom w:val="none" w:sz="0" w:space="0" w:color="auto"/>
        <w:right w:val="none" w:sz="0" w:space="0" w:color="auto"/>
      </w:divBdr>
    </w:div>
    <w:div w:id="1213007323">
      <w:bodyDiv w:val="1"/>
      <w:marLeft w:val="0"/>
      <w:marRight w:val="0"/>
      <w:marTop w:val="0"/>
      <w:marBottom w:val="0"/>
      <w:divBdr>
        <w:top w:val="none" w:sz="0" w:space="0" w:color="auto"/>
        <w:left w:val="none" w:sz="0" w:space="0" w:color="auto"/>
        <w:bottom w:val="none" w:sz="0" w:space="0" w:color="auto"/>
        <w:right w:val="none" w:sz="0" w:space="0" w:color="auto"/>
      </w:divBdr>
    </w:div>
    <w:div w:id="1370298848">
      <w:bodyDiv w:val="1"/>
      <w:marLeft w:val="0"/>
      <w:marRight w:val="0"/>
      <w:marTop w:val="0"/>
      <w:marBottom w:val="0"/>
      <w:divBdr>
        <w:top w:val="none" w:sz="0" w:space="0" w:color="auto"/>
        <w:left w:val="none" w:sz="0" w:space="0" w:color="auto"/>
        <w:bottom w:val="none" w:sz="0" w:space="0" w:color="auto"/>
        <w:right w:val="none" w:sz="0" w:space="0" w:color="auto"/>
      </w:divBdr>
    </w:div>
    <w:div w:id="1379817025">
      <w:bodyDiv w:val="1"/>
      <w:marLeft w:val="0"/>
      <w:marRight w:val="0"/>
      <w:marTop w:val="0"/>
      <w:marBottom w:val="0"/>
      <w:divBdr>
        <w:top w:val="none" w:sz="0" w:space="0" w:color="auto"/>
        <w:left w:val="none" w:sz="0" w:space="0" w:color="auto"/>
        <w:bottom w:val="none" w:sz="0" w:space="0" w:color="auto"/>
        <w:right w:val="none" w:sz="0" w:space="0" w:color="auto"/>
      </w:divBdr>
    </w:div>
    <w:div w:id="200666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http://www.ilo.org/webcommon/dyn/images/icsc/ghs-pictograms/acid_red.gif" TargetMode="External"/><Relationship Id="rId26" Type="http://schemas.openxmlformats.org/officeDocument/2006/relationships/hyperlink" Target="https://www.inchem.org/documents/icsc/icsc/eics0056.htm" TargetMode="External"/><Relationship Id="rId39" Type="http://schemas.openxmlformats.org/officeDocument/2006/relationships/hyperlink" Target="http://data.europa.eu/eli/reg/2012/847/oj" TargetMode="External"/><Relationship Id="rId21" Type="http://schemas.openxmlformats.org/officeDocument/2006/relationships/image" Target="media/image5.png"/><Relationship Id="rId34" Type="http://schemas.openxmlformats.org/officeDocument/2006/relationships/hyperlink" Target="http://data.europa.eu/eli/reg/2017/852/oj" TargetMode="External"/><Relationship Id="rId42" Type="http://schemas.openxmlformats.org/officeDocument/2006/relationships/hyperlink" Target="https://echa.europa.eu/registration-dossier/-/registered-dossier/5169" TargetMode="External"/><Relationship Id="rId47" Type="http://schemas.openxmlformats.org/officeDocument/2006/relationships/hyperlink" Target="http://ec.europa.eu/social/BlobServlet?docId=3852&amp;langId=en" TargetMode="External"/><Relationship Id="rId50" Type="http://schemas.openxmlformats.org/officeDocument/2006/relationships/hyperlink" Target="https://wedocs.unep.org/xmlui/handle/20.500.11822/7984" TargetMode="External"/><Relationship Id="rId55" Type="http://schemas.openxmlformats.org/officeDocument/2006/relationships/hyperlink" Target="https://www.who.int/publications/i/item/978924002356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nchem.org/documents/icsc/icsc/eics0056.htm" TargetMode="External"/><Relationship Id="rId29" Type="http://schemas.openxmlformats.org/officeDocument/2006/relationships/hyperlink" Target="http://data.europa.eu/eli/dir/2006/66/2018-07-04" TargetMode="External"/><Relationship Id="rId11" Type="http://schemas.openxmlformats.org/officeDocument/2006/relationships/image" Target="file:///S:\Marin\Agenda\!UNEP.WPG" TargetMode="External"/><Relationship Id="rId24" Type="http://schemas.openxmlformats.org/officeDocument/2006/relationships/image" Target="http://www.ilo.org/webcommon/dyn/images/icsc/ghs-pictograms/aquatic-pollut-red.gif" TargetMode="External"/><Relationship Id="rId32" Type="http://schemas.openxmlformats.org/officeDocument/2006/relationships/hyperlink" Target="http://data.europa.eu/eli/reg/2012/847/oj" TargetMode="External"/><Relationship Id="rId37" Type="http://schemas.openxmlformats.org/officeDocument/2006/relationships/hyperlink" Target="http://data.europa.eu/eli/dir/2007/51/oj" TargetMode="External"/><Relationship Id="rId40" Type="http://schemas.openxmlformats.org/officeDocument/2006/relationships/hyperlink" Target="http://data.europa.eu/eli/dir/2011/65/2020-09-01" TargetMode="External"/><Relationship Id="rId45" Type="http://schemas.openxmlformats.org/officeDocument/2006/relationships/hyperlink" Target="https://cfpub.epa.gov/ncea/iris/iris_documents/documents/subst/0692_summary.pdf" TargetMode="External"/><Relationship Id="rId53" Type="http://schemas.openxmlformats.org/officeDocument/2006/relationships/hyperlink" Target="https://iris.who.int/handle/10665/107335" TargetMode="External"/><Relationship Id="rId58" Type="http://schemas.openxmlformats.org/officeDocument/2006/relationships/footer" Target="footer4.xm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file:///S:\Marin\Agenda\!OLEGENE.WPG" TargetMode="External"/><Relationship Id="rId14" Type="http://schemas.openxmlformats.org/officeDocument/2006/relationships/hyperlink" Target="https://minamataconvention.org/" TargetMode="External"/><Relationship Id="rId22" Type="http://schemas.openxmlformats.org/officeDocument/2006/relationships/image" Target="http://www.ilo.org/webcommon/dyn/images/icsc/ghs-pictograms/silhouete.gif" TargetMode="External"/><Relationship Id="rId27" Type="http://schemas.openxmlformats.org/officeDocument/2006/relationships/hyperlink" Target="https://www.basel.int/Implementation/TechnicalMatters/DevelopmentofTechnicalGuidelines/TechnicalGuidelines/tabid/8025/Default.aspx" TargetMode="External"/><Relationship Id="rId30" Type="http://schemas.openxmlformats.org/officeDocument/2006/relationships/hyperlink" Target="http://data.europa.eu/eli/dir/2007/51/oj" TargetMode="External"/><Relationship Id="rId35" Type="http://schemas.openxmlformats.org/officeDocument/2006/relationships/hyperlink" Target="http://www.suin-juriscol.gov.co/viewDocument.asp?ruta=Leyes/1685943" TargetMode="External"/><Relationship Id="rId43" Type="http://schemas.openxmlformats.org/officeDocument/2006/relationships/hyperlink" Target="https://publications.iarc.fr/_publications/media/download/1954/ed5ada49ff1536d1474abdb982ee69583dbf1bc2.pdf" TargetMode="External"/><Relationship Id="rId48" Type="http://schemas.openxmlformats.org/officeDocument/2006/relationships/hyperlink" Target="https://www.unep.org/globalmercurypartnership/resources/report/global-mercury-assessment-2002" TargetMode="External"/><Relationship Id="rId56"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https://www.unep.org/resources/report/global-mercury-supply-trade-and-demand" TargetMode="Externa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https://www.inchem.org/documents/icsc/icsc/eics0056.htm" TargetMode="External"/><Relationship Id="rId33" Type="http://schemas.openxmlformats.org/officeDocument/2006/relationships/hyperlink" Target="http://data.europa.eu/eli/dir/2011/65/2020-09-01" TargetMode="External"/><Relationship Id="rId38" Type="http://schemas.openxmlformats.org/officeDocument/2006/relationships/hyperlink" Target="http://data.europa.eu/eli/reg/2009/552/oj" TargetMode="External"/><Relationship Id="rId46" Type="http://schemas.openxmlformats.org/officeDocument/2006/relationships/hyperlink" Target="https://cfpub.epa.gov/ncea/iris/iris_documents/documents/subst/0073_summary.pdf" TargetMode="External"/><Relationship Id="rId59" Type="http://schemas.openxmlformats.org/officeDocument/2006/relationships/fontTable" Target="fontTable.xml"/><Relationship Id="rId20" Type="http://schemas.openxmlformats.org/officeDocument/2006/relationships/image" Target="http://www.ilo.org/webcommon/dyn/images/icsc/ghs-pictograms/skull.gif" TargetMode="External"/><Relationship Id="rId41" Type="http://schemas.openxmlformats.org/officeDocument/2006/relationships/hyperlink" Target="http://data.europa.eu/eli/reg/2017/852/oj" TargetMode="External"/><Relationship Id="rId54" Type="http://schemas.openxmlformats.org/officeDocument/2006/relationships/hyperlink" Target="https://www.inchem.org/documents/cicads/cicads/cicad50.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inamataconvention.org" TargetMode="External"/><Relationship Id="rId23" Type="http://schemas.openxmlformats.org/officeDocument/2006/relationships/image" Target="media/image6.png"/><Relationship Id="rId28" Type="http://schemas.openxmlformats.org/officeDocument/2006/relationships/hyperlink" Target="http://www.suin-juriscol.gov.co/viewDocument.asp?ruta=Leyes/1685943" TargetMode="External"/><Relationship Id="rId36" Type="http://schemas.openxmlformats.org/officeDocument/2006/relationships/hyperlink" Target="http://data.europa.eu/eli/dir/2006/66/2018-07-04" TargetMode="External"/><Relationship Id="rId49" Type="http://schemas.openxmlformats.org/officeDocument/2006/relationships/hyperlink" Target="https://www.unep.org/globalmercurypartnership/resources/report/global-atmospheric-mercury-assessment-sources-emissions-and-transport-2008" TargetMode="External"/><Relationship Id="rId57" Type="http://schemas.openxmlformats.org/officeDocument/2006/relationships/footer" Target="footer3.xml"/><Relationship Id="rId10" Type="http://schemas.openxmlformats.org/officeDocument/2006/relationships/image" Target="media/image2.png"/><Relationship Id="rId31" Type="http://schemas.openxmlformats.org/officeDocument/2006/relationships/hyperlink" Target="http://data.europa.eu/eli/reg/2009/552/oj" TargetMode="External"/><Relationship Id="rId44" Type="http://schemas.openxmlformats.org/officeDocument/2006/relationships/hyperlink" Target="https://cfpub.epa.gov/ncea/iris/iris_documents/documents/subst/0370_summary.pdf" TargetMode="External"/><Relationship Id="rId52" Type="http://schemas.openxmlformats.org/officeDocument/2006/relationships/hyperlink" Target="https://www.unep.org/resources/publication/global-mercury-assessment-2018?_ga=2.172454499.1370957274.1702051132-948088036.1661281591"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AAA42-3A9A-4C8D-AFED-133A5544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14479</Words>
  <Characters>82535</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Rotterdam Convention</vt:lpstr>
    </vt:vector>
  </TitlesOfParts>
  <Company>FAO of the UN</Company>
  <LinksUpToDate>false</LinksUpToDate>
  <CharactersWithSpaces>96821</CharactersWithSpaces>
  <SharedDoc>false</SharedDoc>
  <HLinks>
    <vt:vector size="396" baseType="variant">
      <vt:variant>
        <vt:i4>1572933</vt:i4>
      </vt:variant>
      <vt:variant>
        <vt:i4>300</vt:i4>
      </vt:variant>
      <vt:variant>
        <vt:i4>0</vt:i4>
      </vt:variant>
      <vt:variant>
        <vt:i4>5</vt:i4>
      </vt:variant>
      <vt:variant>
        <vt:lpwstr>https://www.who.int/publications/i/item/9789240023567</vt:lpwstr>
      </vt:variant>
      <vt:variant>
        <vt:lpwstr/>
      </vt:variant>
      <vt:variant>
        <vt:i4>3997743</vt:i4>
      </vt:variant>
      <vt:variant>
        <vt:i4>297</vt:i4>
      </vt:variant>
      <vt:variant>
        <vt:i4>0</vt:i4>
      </vt:variant>
      <vt:variant>
        <vt:i4>5</vt:i4>
      </vt:variant>
      <vt:variant>
        <vt:lpwstr>https://www.inchem.org/documents/cicads/cicads/cicad50.htm</vt:lpwstr>
      </vt:variant>
      <vt:variant>
        <vt:lpwstr/>
      </vt:variant>
      <vt:variant>
        <vt:i4>5177358</vt:i4>
      </vt:variant>
      <vt:variant>
        <vt:i4>294</vt:i4>
      </vt:variant>
      <vt:variant>
        <vt:i4>0</vt:i4>
      </vt:variant>
      <vt:variant>
        <vt:i4>5</vt:i4>
      </vt:variant>
      <vt:variant>
        <vt:lpwstr>https://iris.who.int/handle/10665/107335</vt:lpwstr>
      </vt:variant>
      <vt:variant>
        <vt:lpwstr/>
      </vt:variant>
      <vt:variant>
        <vt:i4>1179774</vt:i4>
      </vt:variant>
      <vt:variant>
        <vt:i4>291</vt:i4>
      </vt:variant>
      <vt:variant>
        <vt:i4>0</vt:i4>
      </vt:variant>
      <vt:variant>
        <vt:i4>5</vt:i4>
      </vt:variant>
      <vt:variant>
        <vt:lpwstr>https://www.unep.org/resources/publication/global-mercury-assessment-2018?_ga=2.172454499.1370957274.1702051132-948088036.1661281591</vt:lpwstr>
      </vt:variant>
      <vt:variant>
        <vt:lpwstr/>
      </vt:variant>
      <vt:variant>
        <vt:i4>5111836</vt:i4>
      </vt:variant>
      <vt:variant>
        <vt:i4>288</vt:i4>
      </vt:variant>
      <vt:variant>
        <vt:i4>0</vt:i4>
      </vt:variant>
      <vt:variant>
        <vt:i4>5</vt:i4>
      </vt:variant>
      <vt:variant>
        <vt:lpwstr>https://www.unep.org/resources/report/global-mercury-supply-trade-and-demand</vt:lpwstr>
      </vt:variant>
      <vt:variant>
        <vt:lpwstr/>
      </vt:variant>
      <vt:variant>
        <vt:i4>8323121</vt:i4>
      </vt:variant>
      <vt:variant>
        <vt:i4>285</vt:i4>
      </vt:variant>
      <vt:variant>
        <vt:i4>0</vt:i4>
      </vt:variant>
      <vt:variant>
        <vt:i4>5</vt:i4>
      </vt:variant>
      <vt:variant>
        <vt:lpwstr>https://wedocs.unep.org/xmlui/handle/20.500.11822/7984</vt:lpwstr>
      </vt:variant>
      <vt:variant>
        <vt:lpwstr/>
      </vt:variant>
      <vt:variant>
        <vt:i4>65553</vt:i4>
      </vt:variant>
      <vt:variant>
        <vt:i4>282</vt:i4>
      </vt:variant>
      <vt:variant>
        <vt:i4>0</vt:i4>
      </vt:variant>
      <vt:variant>
        <vt:i4>5</vt:i4>
      </vt:variant>
      <vt:variant>
        <vt:lpwstr>https://www.unep.org/globalmercurypartnership/resources/report/global-atmospheric-mercury-assessment-sources-emissions-and-transport-2008</vt:lpwstr>
      </vt:variant>
      <vt:variant>
        <vt:lpwstr/>
      </vt:variant>
      <vt:variant>
        <vt:i4>4587526</vt:i4>
      </vt:variant>
      <vt:variant>
        <vt:i4>279</vt:i4>
      </vt:variant>
      <vt:variant>
        <vt:i4>0</vt:i4>
      </vt:variant>
      <vt:variant>
        <vt:i4>5</vt:i4>
      </vt:variant>
      <vt:variant>
        <vt:lpwstr>https://www.unep.org/globalmercurypartnership/resources/report/global-mercury-assessment-2002</vt:lpwstr>
      </vt:variant>
      <vt:variant>
        <vt:lpwstr/>
      </vt:variant>
      <vt:variant>
        <vt:i4>7012392</vt:i4>
      </vt:variant>
      <vt:variant>
        <vt:i4>276</vt:i4>
      </vt:variant>
      <vt:variant>
        <vt:i4>0</vt:i4>
      </vt:variant>
      <vt:variant>
        <vt:i4>5</vt:i4>
      </vt:variant>
      <vt:variant>
        <vt:lpwstr>http://ec.europa.eu/social/BlobServlet?docId=3852&amp;langId=en</vt:lpwstr>
      </vt:variant>
      <vt:variant>
        <vt:lpwstr/>
      </vt:variant>
      <vt:variant>
        <vt:i4>196610</vt:i4>
      </vt:variant>
      <vt:variant>
        <vt:i4>273</vt:i4>
      </vt:variant>
      <vt:variant>
        <vt:i4>0</vt:i4>
      </vt:variant>
      <vt:variant>
        <vt:i4>5</vt:i4>
      </vt:variant>
      <vt:variant>
        <vt:lpwstr>https://cfpub.epa.gov/ncea/iris/iris_documents/documents/subst/0073_summary.pdf</vt:lpwstr>
      </vt:variant>
      <vt:variant>
        <vt:lpwstr/>
      </vt:variant>
      <vt:variant>
        <vt:i4>851973</vt:i4>
      </vt:variant>
      <vt:variant>
        <vt:i4>270</vt:i4>
      </vt:variant>
      <vt:variant>
        <vt:i4>0</vt:i4>
      </vt:variant>
      <vt:variant>
        <vt:i4>5</vt:i4>
      </vt:variant>
      <vt:variant>
        <vt:lpwstr>https://cfpub.epa.gov/ncea/iris/iris_documents/documents/subst/0692_summary.pdf</vt:lpwstr>
      </vt:variant>
      <vt:variant>
        <vt:lpwstr/>
      </vt:variant>
      <vt:variant>
        <vt:i4>196610</vt:i4>
      </vt:variant>
      <vt:variant>
        <vt:i4>267</vt:i4>
      </vt:variant>
      <vt:variant>
        <vt:i4>0</vt:i4>
      </vt:variant>
      <vt:variant>
        <vt:i4>5</vt:i4>
      </vt:variant>
      <vt:variant>
        <vt:lpwstr>https://cfpub.epa.gov/ncea/iris/iris_documents/documents/subst/0370_summary.pdf</vt:lpwstr>
      </vt:variant>
      <vt:variant>
        <vt:lpwstr/>
      </vt:variant>
      <vt:variant>
        <vt:i4>4849790</vt:i4>
      </vt:variant>
      <vt:variant>
        <vt:i4>264</vt:i4>
      </vt:variant>
      <vt:variant>
        <vt:i4>0</vt:i4>
      </vt:variant>
      <vt:variant>
        <vt:i4>5</vt:i4>
      </vt:variant>
      <vt:variant>
        <vt:lpwstr>https://publications.iarc.fr/_publications/media/download/1954/ed5ada49ff1536d1474abdb982ee69583dbf1bc2.pdf</vt:lpwstr>
      </vt:variant>
      <vt:variant>
        <vt:lpwstr/>
      </vt:variant>
      <vt:variant>
        <vt:i4>1376321</vt:i4>
      </vt:variant>
      <vt:variant>
        <vt:i4>261</vt:i4>
      </vt:variant>
      <vt:variant>
        <vt:i4>0</vt:i4>
      </vt:variant>
      <vt:variant>
        <vt:i4>5</vt:i4>
      </vt:variant>
      <vt:variant>
        <vt:lpwstr>https://echa.europa.eu/registration-dossier/-/registered-dossier/5169</vt:lpwstr>
      </vt:variant>
      <vt:variant>
        <vt:lpwstr/>
      </vt:variant>
      <vt:variant>
        <vt:i4>5177370</vt:i4>
      </vt:variant>
      <vt:variant>
        <vt:i4>258</vt:i4>
      </vt:variant>
      <vt:variant>
        <vt:i4>0</vt:i4>
      </vt:variant>
      <vt:variant>
        <vt:i4>5</vt:i4>
      </vt:variant>
      <vt:variant>
        <vt:lpwstr>http://data.europa.eu/eli/reg/2017/852/oj</vt:lpwstr>
      </vt:variant>
      <vt:variant>
        <vt:lpwstr/>
      </vt:variant>
      <vt:variant>
        <vt:i4>1376274</vt:i4>
      </vt:variant>
      <vt:variant>
        <vt:i4>255</vt:i4>
      </vt:variant>
      <vt:variant>
        <vt:i4>0</vt:i4>
      </vt:variant>
      <vt:variant>
        <vt:i4>5</vt:i4>
      </vt:variant>
      <vt:variant>
        <vt:lpwstr>http://data.europa.eu/eli/dir/2011/65/2020-09-01</vt:lpwstr>
      </vt:variant>
      <vt:variant>
        <vt:lpwstr/>
      </vt:variant>
      <vt:variant>
        <vt:i4>5177371</vt:i4>
      </vt:variant>
      <vt:variant>
        <vt:i4>252</vt:i4>
      </vt:variant>
      <vt:variant>
        <vt:i4>0</vt:i4>
      </vt:variant>
      <vt:variant>
        <vt:i4>5</vt:i4>
      </vt:variant>
      <vt:variant>
        <vt:lpwstr>http://data.europa.eu/eli/reg/2012/847/oj</vt:lpwstr>
      </vt:variant>
      <vt:variant>
        <vt:lpwstr/>
      </vt:variant>
      <vt:variant>
        <vt:i4>4980763</vt:i4>
      </vt:variant>
      <vt:variant>
        <vt:i4>249</vt:i4>
      </vt:variant>
      <vt:variant>
        <vt:i4>0</vt:i4>
      </vt:variant>
      <vt:variant>
        <vt:i4>5</vt:i4>
      </vt:variant>
      <vt:variant>
        <vt:lpwstr>http://data.europa.eu/eli/reg/2009/552/oj</vt:lpwstr>
      </vt:variant>
      <vt:variant>
        <vt:lpwstr/>
      </vt:variant>
      <vt:variant>
        <vt:i4>5636188</vt:i4>
      </vt:variant>
      <vt:variant>
        <vt:i4>246</vt:i4>
      </vt:variant>
      <vt:variant>
        <vt:i4>0</vt:i4>
      </vt:variant>
      <vt:variant>
        <vt:i4>5</vt:i4>
      </vt:variant>
      <vt:variant>
        <vt:lpwstr>http://data.europa.eu/eli/dir/2007/51/oj</vt:lpwstr>
      </vt:variant>
      <vt:variant>
        <vt:lpwstr/>
      </vt:variant>
      <vt:variant>
        <vt:i4>2031645</vt:i4>
      </vt:variant>
      <vt:variant>
        <vt:i4>243</vt:i4>
      </vt:variant>
      <vt:variant>
        <vt:i4>0</vt:i4>
      </vt:variant>
      <vt:variant>
        <vt:i4>5</vt:i4>
      </vt:variant>
      <vt:variant>
        <vt:lpwstr>http://data.europa.eu/eli/dir/2006/66/2018-07-04</vt:lpwstr>
      </vt:variant>
      <vt:variant>
        <vt:lpwstr/>
      </vt:variant>
      <vt:variant>
        <vt:i4>7667832</vt:i4>
      </vt:variant>
      <vt:variant>
        <vt:i4>240</vt:i4>
      </vt:variant>
      <vt:variant>
        <vt:i4>0</vt:i4>
      </vt:variant>
      <vt:variant>
        <vt:i4>5</vt:i4>
      </vt:variant>
      <vt:variant>
        <vt:lpwstr>http://www.suin-juriscol.gov.co/viewDocument.asp?ruta=Leyes/1685943</vt:lpwstr>
      </vt:variant>
      <vt:variant>
        <vt:lpwstr/>
      </vt:variant>
      <vt:variant>
        <vt:i4>5177370</vt:i4>
      </vt:variant>
      <vt:variant>
        <vt:i4>237</vt:i4>
      </vt:variant>
      <vt:variant>
        <vt:i4>0</vt:i4>
      </vt:variant>
      <vt:variant>
        <vt:i4>5</vt:i4>
      </vt:variant>
      <vt:variant>
        <vt:lpwstr>http://data.europa.eu/eli/reg/2017/852/oj</vt:lpwstr>
      </vt:variant>
      <vt:variant>
        <vt:lpwstr/>
      </vt:variant>
      <vt:variant>
        <vt:i4>1376274</vt:i4>
      </vt:variant>
      <vt:variant>
        <vt:i4>234</vt:i4>
      </vt:variant>
      <vt:variant>
        <vt:i4>0</vt:i4>
      </vt:variant>
      <vt:variant>
        <vt:i4>5</vt:i4>
      </vt:variant>
      <vt:variant>
        <vt:lpwstr>http://data.europa.eu/eli/dir/2011/65/2020-09-01</vt:lpwstr>
      </vt:variant>
      <vt:variant>
        <vt:lpwstr/>
      </vt:variant>
      <vt:variant>
        <vt:i4>5177371</vt:i4>
      </vt:variant>
      <vt:variant>
        <vt:i4>231</vt:i4>
      </vt:variant>
      <vt:variant>
        <vt:i4>0</vt:i4>
      </vt:variant>
      <vt:variant>
        <vt:i4>5</vt:i4>
      </vt:variant>
      <vt:variant>
        <vt:lpwstr>http://data.europa.eu/eli/reg/2012/847/oj</vt:lpwstr>
      </vt:variant>
      <vt:variant>
        <vt:lpwstr/>
      </vt:variant>
      <vt:variant>
        <vt:i4>4980763</vt:i4>
      </vt:variant>
      <vt:variant>
        <vt:i4>228</vt:i4>
      </vt:variant>
      <vt:variant>
        <vt:i4>0</vt:i4>
      </vt:variant>
      <vt:variant>
        <vt:i4>5</vt:i4>
      </vt:variant>
      <vt:variant>
        <vt:lpwstr>http://data.europa.eu/eli/reg/2009/552/oj</vt:lpwstr>
      </vt:variant>
      <vt:variant>
        <vt:lpwstr/>
      </vt:variant>
      <vt:variant>
        <vt:i4>5636188</vt:i4>
      </vt:variant>
      <vt:variant>
        <vt:i4>225</vt:i4>
      </vt:variant>
      <vt:variant>
        <vt:i4>0</vt:i4>
      </vt:variant>
      <vt:variant>
        <vt:i4>5</vt:i4>
      </vt:variant>
      <vt:variant>
        <vt:lpwstr>http://data.europa.eu/eli/dir/2007/51/oj</vt:lpwstr>
      </vt:variant>
      <vt:variant>
        <vt:lpwstr/>
      </vt:variant>
      <vt:variant>
        <vt:i4>2031645</vt:i4>
      </vt:variant>
      <vt:variant>
        <vt:i4>222</vt:i4>
      </vt:variant>
      <vt:variant>
        <vt:i4>0</vt:i4>
      </vt:variant>
      <vt:variant>
        <vt:i4>5</vt:i4>
      </vt:variant>
      <vt:variant>
        <vt:lpwstr>http://data.europa.eu/eli/dir/2006/66/2018-07-04</vt:lpwstr>
      </vt:variant>
      <vt:variant>
        <vt:lpwstr/>
      </vt:variant>
      <vt:variant>
        <vt:i4>7667832</vt:i4>
      </vt:variant>
      <vt:variant>
        <vt:i4>219</vt:i4>
      </vt:variant>
      <vt:variant>
        <vt:i4>0</vt:i4>
      </vt:variant>
      <vt:variant>
        <vt:i4>5</vt:i4>
      </vt:variant>
      <vt:variant>
        <vt:lpwstr>http://www.suin-juriscol.gov.co/viewDocument.asp?ruta=Leyes/1685943</vt:lpwstr>
      </vt:variant>
      <vt:variant>
        <vt:lpwstr/>
      </vt:variant>
      <vt:variant>
        <vt:i4>6291514</vt:i4>
      </vt:variant>
      <vt:variant>
        <vt:i4>216</vt:i4>
      </vt:variant>
      <vt:variant>
        <vt:i4>0</vt:i4>
      </vt:variant>
      <vt:variant>
        <vt:i4>5</vt:i4>
      </vt:variant>
      <vt:variant>
        <vt:lpwstr>https://www.basel.int/Implementation/TechnicalMatters/DevelopmentofTechnicalGuidelines/TechnicalGuidelines/tabid/8025/Default.aspx</vt:lpwstr>
      </vt:variant>
      <vt:variant>
        <vt:lpwstr/>
      </vt:variant>
      <vt:variant>
        <vt:i4>3145785</vt:i4>
      </vt:variant>
      <vt:variant>
        <vt:i4>213</vt:i4>
      </vt:variant>
      <vt:variant>
        <vt:i4>0</vt:i4>
      </vt:variant>
      <vt:variant>
        <vt:i4>5</vt:i4>
      </vt:variant>
      <vt:variant>
        <vt:lpwstr>https://www.inchem.org/documents/icsc/icsc/eics0056.htm</vt:lpwstr>
      </vt:variant>
      <vt:variant>
        <vt:lpwstr/>
      </vt:variant>
      <vt:variant>
        <vt:i4>3145785</vt:i4>
      </vt:variant>
      <vt:variant>
        <vt:i4>210</vt:i4>
      </vt:variant>
      <vt:variant>
        <vt:i4>0</vt:i4>
      </vt:variant>
      <vt:variant>
        <vt:i4>5</vt:i4>
      </vt:variant>
      <vt:variant>
        <vt:lpwstr>https://www.inchem.org/documents/icsc/icsc/eics0056.htm</vt:lpwstr>
      </vt:variant>
      <vt:variant>
        <vt:lpwstr/>
      </vt:variant>
      <vt:variant>
        <vt:i4>3145785</vt:i4>
      </vt:variant>
      <vt:variant>
        <vt:i4>195</vt:i4>
      </vt:variant>
      <vt:variant>
        <vt:i4>0</vt:i4>
      </vt:variant>
      <vt:variant>
        <vt:i4>5</vt:i4>
      </vt:variant>
      <vt:variant>
        <vt:lpwstr>https://www.inchem.org/documents/icsc/icsc/eics0056.htm</vt:lpwstr>
      </vt:variant>
      <vt:variant>
        <vt:lpwstr/>
      </vt:variant>
      <vt:variant>
        <vt:i4>6357109</vt:i4>
      </vt:variant>
      <vt:variant>
        <vt:i4>192</vt:i4>
      </vt:variant>
      <vt:variant>
        <vt:i4>0</vt:i4>
      </vt:variant>
      <vt:variant>
        <vt:i4>5</vt:i4>
      </vt:variant>
      <vt:variant>
        <vt:lpwstr>https://minamataconvention.org/</vt:lpwstr>
      </vt:variant>
      <vt:variant>
        <vt:lpwstr/>
      </vt:variant>
      <vt:variant>
        <vt:i4>6357109</vt:i4>
      </vt:variant>
      <vt:variant>
        <vt:i4>189</vt:i4>
      </vt:variant>
      <vt:variant>
        <vt:i4>0</vt:i4>
      </vt:variant>
      <vt:variant>
        <vt:i4>5</vt:i4>
      </vt:variant>
      <vt:variant>
        <vt:lpwstr>https://minamataconvention.org/</vt:lpwstr>
      </vt:variant>
      <vt:variant>
        <vt:lpwstr/>
      </vt:variant>
      <vt:variant>
        <vt:i4>1114172</vt:i4>
      </vt:variant>
      <vt:variant>
        <vt:i4>182</vt:i4>
      </vt:variant>
      <vt:variant>
        <vt:i4>0</vt:i4>
      </vt:variant>
      <vt:variant>
        <vt:i4>5</vt:i4>
      </vt:variant>
      <vt:variant>
        <vt:lpwstr/>
      </vt:variant>
      <vt:variant>
        <vt:lpwstr>_Toc154010832</vt:lpwstr>
      </vt:variant>
      <vt:variant>
        <vt:i4>1114172</vt:i4>
      </vt:variant>
      <vt:variant>
        <vt:i4>176</vt:i4>
      </vt:variant>
      <vt:variant>
        <vt:i4>0</vt:i4>
      </vt:variant>
      <vt:variant>
        <vt:i4>5</vt:i4>
      </vt:variant>
      <vt:variant>
        <vt:lpwstr/>
      </vt:variant>
      <vt:variant>
        <vt:lpwstr>_Toc154010831</vt:lpwstr>
      </vt:variant>
      <vt:variant>
        <vt:i4>1114172</vt:i4>
      </vt:variant>
      <vt:variant>
        <vt:i4>170</vt:i4>
      </vt:variant>
      <vt:variant>
        <vt:i4>0</vt:i4>
      </vt:variant>
      <vt:variant>
        <vt:i4>5</vt:i4>
      </vt:variant>
      <vt:variant>
        <vt:lpwstr/>
      </vt:variant>
      <vt:variant>
        <vt:lpwstr>_Toc154010830</vt:lpwstr>
      </vt:variant>
      <vt:variant>
        <vt:i4>1048636</vt:i4>
      </vt:variant>
      <vt:variant>
        <vt:i4>164</vt:i4>
      </vt:variant>
      <vt:variant>
        <vt:i4>0</vt:i4>
      </vt:variant>
      <vt:variant>
        <vt:i4>5</vt:i4>
      </vt:variant>
      <vt:variant>
        <vt:lpwstr/>
      </vt:variant>
      <vt:variant>
        <vt:lpwstr>_Toc154010829</vt:lpwstr>
      </vt:variant>
      <vt:variant>
        <vt:i4>1048636</vt:i4>
      </vt:variant>
      <vt:variant>
        <vt:i4>158</vt:i4>
      </vt:variant>
      <vt:variant>
        <vt:i4>0</vt:i4>
      </vt:variant>
      <vt:variant>
        <vt:i4>5</vt:i4>
      </vt:variant>
      <vt:variant>
        <vt:lpwstr/>
      </vt:variant>
      <vt:variant>
        <vt:lpwstr>_Toc154010828</vt:lpwstr>
      </vt:variant>
      <vt:variant>
        <vt:i4>1048636</vt:i4>
      </vt:variant>
      <vt:variant>
        <vt:i4>152</vt:i4>
      </vt:variant>
      <vt:variant>
        <vt:i4>0</vt:i4>
      </vt:variant>
      <vt:variant>
        <vt:i4>5</vt:i4>
      </vt:variant>
      <vt:variant>
        <vt:lpwstr/>
      </vt:variant>
      <vt:variant>
        <vt:lpwstr>_Toc154010827</vt:lpwstr>
      </vt:variant>
      <vt:variant>
        <vt:i4>1048636</vt:i4>
      </vt:variant>
      <vt:variant>
        <vt:i4>146</vt:i4>
      </vt:variant>
      <vt:variant>
        <vt:i4>0</vt:i4>
      </vt:variant>
      <vt:variant>
        <vt:i4>5</vt:i4>
      </vt:variant>
      <vt:variant>
        <vt:lpwstr/>
      </vt:variant>
      <vt:variant>
        <vt:lpwstr>_Toc154010826</vt:lpwstr>
      </vt:variant>
      <vt:variant>
        <vt:i4>1048636</vt:i4>
      </vt:variant>
      <vt:variant>
        <vt:i4>140</vt:i4>
      </vt:variant>
      <vt:variant>
        <vt:i4>0</vt:i4>
      </vt:variant>
      <vt:variant>
        <vt:i4>5</vt:i4>
      </vt:variant>
      <vt:variant>
        <vt:lpwstr/>
      </vt:variant>
      <vt:variant>
        <vt:lpwstr>_Toc154010825</vt:lpwstr>
      </vt:variant>
      <vt:variant>
        <vt:i4>1048636</vt:i4>
      </vt:variant>
      <vt:variant>
        <vt:i4>134</vt:i4>
      </vt:variant>
      <vt:variant>
        <vt:i4>0</vt:i4>
      </vt:variant>
      <vt:variant>
        <vt:i4>5</vt:i4>
      </vt:variant>
      <vt:variant>
        <vt:lpwstr/>
      </vt:variant>
      <vt:variant>
        <vt:lpwstr>_Toc154010824</vt:lpwstr>
      </vt:variant>
      <vt:variant>
        <vt:i4>1048636</vt:i4>
      </vt:variant>
      <vt:variant>
        <vt:i4>128</vt:i4>
      </vt:variant>
      <vt:variant>
        <vt:i4>0</vt:i4>
      </vt:variant>
      <vt:variant>
        <vt:i4>5</vt:i4>
      </vt:variant>
      <vt:variant>
        <vt:lpwstr/>
      </vt:variant>
      <vt:variant>
        <vt:lpwstr>_Toc154010823</vt:lpwstr>
      </vt:variant>
      <vt:variant>
        <vt:i4>1048636</vt:i4>
      </vt:variant>
      <vt:variant>
        <vt:i4>122</vt:i4>
      </vt:variant>
      <vt:variant>
        <vt:i4>0</vt:i4>
      </vt:variant>
      <vt:variant>
        <vt:i4>5</vt:i4>
      </vt:variant>
      <vt:variant>
        <vt:lpwstr/>
      </vt:variant>
      <vt:variant>
        <vt:lpwstr>_Toc154010822</vt:lpwstr>
      </vt:variant>
      <vt:variant>
        <vt:i4>1048636</vt:i4>
      </vt:variant>
      <vt:variant>
        <vt:i4>116</vt:i4>
      </vt:variant>
      <vt:variant>
        <vt:i4>0</vt:i4>
      </vt:variant>
      <vt:variant>
        <vt:i4>5</vt:i4>
      </vt:variant>
      <vt:variant>
        <vt:lpwstr/>
      </vt:variant>
      <vt:variant>
        <vt:lpwstr>_Toc154010821</vt:lpwstr>
      </vt:variant>
      <vt:variant>
        <vt:i4>1048636</vt:i4>
      </vt:variant>
      <vt:variant>
        <vt:i4>110</vt:i4>
      </vt:variant>
      <vt:variant>
        <vt:i4>0</vt:i4>
      </vt:variant>
      <vt:variant>
        <vt:i4>5</vt:i4>
      </vt:variant>
      <vt:variant>
        <vt:lpwstr/>
      </vt:variant>
      <vt:variant>
        <vt:lpwstr>_Toc154010820</vt:lpwstr>
      </vt:variant>
      <vt:variant>
        <vt:i4>1245244</vt:i4>
      </vt:variant>
      <vt:variant>
        <vt:i4>104</vt:i4>
      </vt:variant>
      <vt:variant>
        <vt:i4>0</vt:i4>
      </vt:variant>
      <vt:variant>
        <vt:i4>5</vt:i4>
      </vt:variant>
      <vt:variant>
        <vt:lpwstr/>
      </vt:variant>
      <vt:variant>
        <vt:lpwstr>_Toc154010819</vt:lpwstr>
      </vt:variant>
      <vt:variant>
        <vt:i4>1245244</vt:i4>
      </vt:variant>
      <vt:variant>
        <vt:i4>98</vt:i4>
      </vt:variant>
      <vt:variant>
        <vt:i4>0</vt:i4>
      </vt:variant>
      <vt:variant>
        <vt:i4>5</vt:i4>
      </vt:variant>
      <vt:variant>
        <vt:lpwstr/>
      </vt:variant>
      <vt:variant>
        <vt:lpwstr>_Toc154010818</vt:lpwstr>
      </vt:variant>
      <vt:variant>
        <vt:i4>1245244</vt:i4>
      </vt:variant>
      <vt:variant>
        <vt:i4>92</vt:i4>
      </vt:variant>
      <vt:variant>
        <vt:i4>0</vt:i4>
      </vt:variant>
      <vt:variant>
        <vt:i4>5</vt:i4>
      </vt:variant>
      <vt:variant>
        <vt:lpwstr/>
      </vt:variant>
      <vt:variant>
        <vt:lpwstr>_Toc154010817</vt:lpwstr>
      </vt:variant>
      <vt:variant>
        <vt:i4>1245244</vt:i4>
      </vt:variant>
      <vt:variant>
        <vt:i4>86</vt:i4>
      </vt:variant>
      <vt:variant>
        <vt:i4>0</vt:i4>
      </vt:variant>
      <vt:variant>
        <vt:i4>5</vt:i4>
      </vt:variant>
      <vt:variant>
        <vt:lpwstr/>
      </vt:variant>
      <vt:variant>
        <vt:lpwstr>_Toc154010816</vt:lpwstr>
      </vt:variant>
      <vt:variant>
        <vt:i4>1245244</vt:i4>
      </vt:variant>
      <vt:variant>
        <vt:i4>80</vt:i4>
      </vt:variant>
      <vt:variant>
        <vt:i4>0</vt:i4>
      </vt:variant>
      <vt:variant>
        <vt:i4>5</vt:i4>
      </vt:variant>
      <vt:variant>
        <vt:lpwstr/>
      </vt:variant>
      <vt:variant>
        <vt:lpwstr>_Toc154010815</vt:lpwstr>
      </vt:variant>
      <vt:variant>
        <vt:i4>1245244</vt:i4>
      </vt:variant>
      <vt:variant>
        <vt:i4>74</vt:i4>
      </vt:variant>
      <vt:variant>
        <vt:i4>0</vt:i4>
      </vt:variant>
      <vt:variant>
        <vt:i4>5</vt:i4>
      </vt:variant>
      <vt:variant>
        <vt:lpwstr/>
      </vt:variant>
      <vt:variant>
        <vt:lpwstr>_Toc154010814</vt:lpwstr>
      </vt:variant>
      <vt:variant>
        <vt:i4>1245244</vt:i4>
      </vt:variant>
      <vt:variant>
        <vt:i4>68</vt:i4>
      </vt:variant>
      <vt:variant>
        <vt:i4>0</vt:i4>
      </vt:variant>
      <vt:variant>
        <vt:i4>5</vt:i4>
      </vt:variant>
      <vt:variant>
        <vt:lpwstr/>
      </vt:variant>
      <vt:variant>
        <vt:lpwstr>_Toc154010813</vt:lpwstr>
      </vt:variant>
      <vt:variant>
        <vt:i4>1245244</vt:i4>
      </vt:variant>
      <vt:variant>
        <vt:i4>62</vt:i4>
      </vt:variant>
      <vt:variant>
        <vt:i4>0</vt:i4>
      </vt:variant>
      <vt:variant>
        <vt:i4>5</vt:i4>
      </vt:variant>
      <vt:variant>
        <vt:lpwstr/>
      </vt:variant>
      <vt:variant>
        <vt:lpwstr>_Toc154010812</vt:lpwstr>
      </vt:variant>
      <vt:variant>
        <vt:i4>1245244</vt:i4>
      </vt:variant>
      <vt:variant>
        <vt:i4>56</vt:i4>
      </vt:variant>
      <vt:variant>
        <vt:i4>0</vt:i4>
      </vt:variant>
      <vt:variant>
        <vt:i4>5</vt:i4>
      </vt:variant>
      <vt:variant>
        <vt:lpwstr/>
      </vt:variant>
      <vt:variant>
        <vt:lpwstr>_Toc154010811</vt:lpwstr>
      </vt:variant>
      <vt:variant>
        <vt:i4>1245244</vt:i4>
      </vt:variant>
      <vt:variant>
        <vt:i4>50</vt:i4>
      </vt:variant>
      <vt:variant>
        <vt:i4>0</vt:i4>
      </vt:variant>
      <vt:variant>
        <vt:i4>5</vt:i4>
      </vt:variant>
      <vt:variant>
        <vt:lpwstr/>
      </vt:variant>
      <vt:variant>
        <vt:lpwstr>_Toc154010810</vt:lpwstr>
      </vt:variant>
      <vt:variant>
        <vt:i4>1179708</vt:i4>
      </vt:variant>
      <vt:variant>
        <vt:i4>44</vt:i4>
      </vt:variant>
      <vt:variant>
        <vt:i4>0</vt:i4>
      </vt:variant>
      <vt:variant>
        <vt:i4>5</vt:i4>
      </vt:variant>
      <vt:variant>
        <vt:lpwstr/>
      </vt:variant>
      <vt:variant>
        <vt:lpwstr>_Toc154010809</vt:lpwstr>
      </vt:variant>
      <vt:variant>
        <vt:i4>1179708</vt:i4>
      </vt:variant>
      <vt:variant>
        <vt:i4>38</vt:i4>
      </vt:variant>
      <vt:variant>
        <vt:i4>0</vt:i4>
      </vt:variant>
      <vt:variant>
        <vt:i4>5</vt:i4>
      </vt:variant>
      <vt:variant>
        <vt:lpwstr/>
      </vt:variant>
      <vt:variant>
        <vt:lpwstr>_Toc154010808</vt:lpwstr>
      </vt:variant>
      <vt:variant>
        <vt:i4>1179708</vt:i4>
      </vt:variant>
      <vt:variant>
        <vt:i4>32</vt:i4>
      </vt:variant>
      <vt:variant>
        <vt:i4>0</vt:i4>
      </vt:variant>
      <vt:variant>
        <vt:i4>5</vt:i4>
      </vt:variant>
      <vt:variant>
        <vt:lpwstr/>
      </vt:variant>
      <vt:variant>
        <vt:lpwstr>_Toc154010807</vt:lpwstr>
      </vt:variant>
      <vt:variant>
        <vt:i4>1179708</vt:i4>
      </vt:variant>
      <vt:variant>
        <vt:i4>26</vt:i4>
      </vt:variant>
      <vt:variant>
        <vt:i4>0</vt:i4>
      </vt:variant>
      <vt:variant>
        <vt:i4>5</vt:i4>
      </vt:variant>
      <vt:variant>
        <vt:lpwstr/>
      </vt:variant>
      <vt:variant>
        <vt:lpwstr>_Toc154010806</vt:lpwstr>
      </vt:variant>
      <vt:variant>
        <vt:i4>1179708</vt:i4>
      </vt:variant>
      <vt:variant>
        <vt:i4>20</vt:i4>
      </vt:variant>
      <vt:variant>
        <vt:i4>0</vt:i4>
      </vt:variant>
      <vt:variant>
        <vt:i4>5</vt:i4>
      </vt:variant>
      <vt:variant>
        <vt:lpwstr/>
      </vt:variant>
      <vt:variant>
        <vt:lpwstr>_Toc154010805</vt:lpwstr>
      </vt:variant>
      <vt:variant>
        <vt:i4>1179708</vt:i4>
      </vt:variant>
      <vt:variant>
        <vt:i4>14</vt:i4>
      </vt:variant>
      <vt:variant>
        <vt:i4>0</vt:i4>
      </vt:variant>
      <vt:variant>
        <vt:i4>5</vt:i4>
      </vt:variant>
      <vt:variant>
        <vt:lpwstr/>
      </vt:variant>
      <vt:variant>
        <vt:lpwstr>_Toc154010804</vt:lpwstr>
      </vt:variant>
      <vt:variant>
        <vt:i4>1179708</vt:i4>
      </vt:variant>
      <vt:variant>
        <vt:i4>8</vt:i4>
      </vt:variant>
      <vt:variant>
        <vt:i4>0</vt:i4>
      </vt:variant>
      <vt:variant>
        <vt:i4>5</vt:i4>
      </vt:variant>
      <vt:variant>
        <vt:lpwstr/>
      </vt:variant>
      <vt:variant>
        <vt:lpwstr>_Toc154010803</vt:lpwstr>
      </vt:variant>
      <vt:variant>
        <vt:i4>7143433</vt:i4>
      </vt:variant>
      <vt:variant>
        <vt:i4>2266</vt:i4>
      </vt:variant>
      <vt:variant>
        <vt:i4>1025</vt:i4>
      </vt:variant>
      <vt:variant>
        <vt:i4>1</vt:i4>
      </vt:variant>
      <vt:variant>
        <vt:lpwstr>S:\Marin\Agenda\!OLEGENE.WPG</vt:lpwstr>
      </vt:variant>
      <vt:variant>
        <vt:lpwstr/>
      </vt:variant>
      <vt:variant>
        <vt:i4>3735643</vt:i4>
      </vt:variant>
      <vt:variant>
        <vt:i4>2307</vt:i4>
      </vt:variant>
      <vt:variant>
        <vt:i4>1026</vt:i4>
      </vt:variant>
      <vt:variant>
        <vt:i4>1</vt:i4>
      </vt:variant>
      <vt:variant>
        <vt:lpwstr>S:\Marin\Agenda\!UNEP.WPG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Rotterdam Convention</dc:title>
  <dc:subject/>
  <dc:creator>Zhou, Yun (AGPP)</dc:creator>
  <cp:keywords/>
  <cp:lastModifiedBy>Kei Ohno Woodall</cp:lastModifiedBy>
  <cp:revision>3</cp:revision>
  <dcterms:created xsi:type="dcterms:W3CDTF">2024-02-19T19:44:00Z</dcterms:created>
  <dcterms:modified xsi:type="dcterms:W3CDTF">2024-02-19T19:45:00Z</dcterms:modified>
</cp:coreProperties>
</file>